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仿宋" w:hAnsi="仿宋" w:eastAsia="仿宋" w:cs="仿宋"/>
          <w:sz w:val="32"/>
          <w:szCs w:val="32"/>
        </w:rPr>
      </w:pPr>
      <w:r>
        <w:rPr>
          <w:rFonts w:hint="eastAsia" w:ascii="方正大标宋简体" w:hAnsi="方正大标宋简体" w:eastAsia="方正大标宋简体" w:cs="方正大标宋简体"/>
          <w:sz w:val="44"/>
          <w:szCs w:val="44"/>
          <w:lang w:eastAsia="zh-CN"/>
        </w:rPr>
        <w:t>部门</w:t>
      </w:r>
      <w:r>
        <w:rPr>
          <w:rFonts w:hint="eastAsia" w:ascii="方正大标宋简体" w:hAnsi="方正大标宋简体" w:eastAsia="方正大标宋简体" w:cs="方正大标宋简体"/>
          <w:sz w:val="44"/>
          <w:szCs w:val="44"/>
        </w:rPr>
        <w:t>整体</w:t>
      </w:r>
      <w:r>
        <w:rPr>
          <w:rFonts w:hint="eastAsia" w:ascii="方正大标宋简体" w:hAnsi="方正大标宋简体" w:eastAsia="方正大标宋简体" w:cs="方正大标宋简体"/>
          <w:sz w:val="44"/>
          <w:szCs w:val="44"/>
          <w:lang w:eastAsia="zh-CN"/>
        </w:rPr>
        <w:t>支出</w:t>
      </w:r>
      <w:r>
        <w:rPr>
          <w:rFonts w:hint="eastAsia" w:ascii="方正大标宋简体" w:hAnsi="方正大标宋简体" w:eastAsia="方正大标宋简体" w:cs="方正大标宋简体"/>
          <w:sz w:val="44"/>
          <w:szCs w:val="44"/>
        </w:rPr>
        <w:t>绩效自评报告</w:t>
      </w: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r>
        <w:rPr>
          <w:rFonts w:hint="eastAsia" w:ascii="仿宋" w:hAnsi="仿宋" w:eastAsia="仿宋" w:cs="仿宋"/>
          <w:sz w:val="32"/>
          <w:szCs w:val="32"/>
        </w:rPr>
        <w:t>部门名称：（公章）</w:t>
      </w: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eastAsia="zh-CN"/>
        </w:rPr>
        <w:t>所属下级预算单位数量：</w:t>
      </w:r>
      <w:r>
        <w:rPr>
          <w:rFonts w:hint="eastAsia" w:ascii="仿宋" w:hAnsi="仿宋" w:eastAsia="仿宋" w:cs="仿宋"/>
          <w:sz w:val="32"/>
          <w:szCs w:val="32"/>
          <w:lang w:val="en-US" w:eastAsia="zh-CN"/>
        </w:rPr>
        <w:t>0</w:t>
      </w: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r>
        <w:rPr>
          <w:rFonts w:hint="eastAsia" w:ascii="仿宋" w:hAnsi="仿宋" w:eastAsia="仿宋" w:cs="仿宋"/>
          <w:sz w:val="32"/>
          <w:szCs w:val="32"/>
        </w:rPr>
        <w:t>填报人：</w:t>
      </w:r>
      <w:r>
        <w:rPr>
          <w:rFonts w:hint="eastAsia" w:ascii="仿宋" w:hAnsi="仿宋" w:eastAsia="仿宋" w:cs="仿宋"/>
          <w:sz w:val="32"/>
          <w:szCs w:val="32"/>
          <w:lang w:eastAsia="zh-CN"/>
        </w:rPr>
        <w:t>邓智星</w:t>
      </w: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r>
        <w:rPr>
          <w:rFonts w:hint="eastAsia" w:ascii="仿宋" w:hAnsi="仿宋" w:eastAsia="仿宋" w:cs="仿宋"/>
          <w:sz w:val="32"/>
          <w:szCs w:val="32"/>
        </w:rPr>
        <w:t>联系电话：</w:t>
      </w:r>
      <w:r>
        <w:rPr>
          <w:rFonts w:hint="eastAsia" w:ascii="仿宋" w:hAnsi="仿宋" w:eastAsia="仿宋" w:cs="仿宋"/>
          <w:sz w:val="32"/>
          <w:szCs w:val="32"/>
          <w:lang w:val="en-US" w:eastAsia="zh-CN"/>
        </w:rPr>
        <w:t>02087375199</w:t>
      </w: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r>
        <w:rPr>
          <w:rFonts w:hint="eastAsia" w:ascii="仿宋" w:hAnsi="仿宋" w:eastAsia="仿宋" w:cs="仿宋"/>
          <w:sz w:val="32"/>
          <w:szCs w:val="32"/>
        </w:rPr>
        <w:t>填报日期：</w:t>
      </w:r>
      <w:r>
        <w:rPr>
          <w:rFonts w:hint="eastAsia" w:ascii="仿宋" w:hAnsi="仿宋" w:eastAsia="仿宋" w:cs="仿宋"/>
          <w:sz w:val="32"/>
          <w:szCs w:val="32"/>
          <w:lang w:val="en-US" w:eastAsia="zh-CN"/>
        </w:rPr>
        <w:t>2026年5月15日</w:t>
      </w: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黑体" w:hAnsi="黑体" w:eastAsia="黑体" w:cs="黑体"/>
          <w:sz w:val="32"/>
          <w:szCs w:val="32"/>
        </w:rPr>
        <w:t>一、部门基本情况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华文楷体" w:hAnsi="华文楷体" w:eastAsia="华文楷体" w:cs="华文楷体"/>
          <w:sz w:val="32"/>
          <w:szCs w:val="32"/>
        </w:rPr>
        <w:t>（一）部门职能</w:t>
      </w:r>
    </w:p>
    <w:p>
      <w:pPr>
        <w:keepNext w:val="0"/>
        <w:keepLines w:val="0"/>
        <w:pageBreakBefore w:val="0"/>
        <w:widowControl w:val="0"/>
        <w:kinsoku w:val="0"/>
        <w:wordWrap/>
        <w:overflowPunct w:val="0"/>
        <w:topLinePunct w:val="0"/>
        <w:autoSpaceDE w:val="0"/>
        <w:autoSpaceDN w:val="0"/>
        <w:bidi w:val="0"/>
        <w:adjustRightInd/>
        <w:snapToGrid/>
        <w:spacing w:line="240" w:lineRule="auto"/>
        <w:ind w:right="0" w:rightChars="0" w:firstLine="640" w:firstLineChars="200"/>
        <w:jc w:val="left"/>
        <w:textAlignment w:val="auto"/>
        <w:outlineLvl w:val="9"/>
        <w:rPr>
          <w:rFonts w:hint="eastAsia" w:ascii="仿宋" w:hAnsi="仿宋" w:eastAsia="仿宋" w:cs="仿宋"/>
          <w:snapToGrid w:val="0"/>
          <w:sz w:val="32"/>
          <w:szCs w:val="32"/>
        </w:rPr>
      </w:pPr>
      <w:r>
        <w:rPr>
          <w:rFonts w:hint="eastAsia" w:ascii="仿宋" w:hAnsi="仿宋" w:eastAsia="仿宋" w:cs="仿宋"/>
          <w:snapToGrid w:val="0"/>
          <w:sz w:val="32"/>
          <w:szCs w:val="32"/>
        </w:rPr>
        <w:t>中国国民党革命委员会（简称“民革”）是具有政治联盟性质的、致力于建设中国特色社会主义和祖国统一事业的政党，是中国共产党领导的多党合作和政治协商制度中的参政党</w:t>
      </w:r>
      <w:r>
        <w:rPr>
          <w:rFonts w:hint="eastAsia" w:ascii="仿宋" w:hAnsi="仿宋" w:eastAsia="仿宋" w:cs="仿宋"/>
          <w:snapToGrid w:val="0"/>
          <w:sz w:val="32"/>
          <w:szCs w:val="32"/>
          <w:lang w:eastAsia="zh-CN"/>
        </w:rPr>
        <w:t>。1948年4月成立民革广东省分会，1950年1月成立民革华南临时工作委员会。1955年5月，中国国民党革命委员会广东省委员会在广州正式成立。民革广东省委会现任主委：程萍。民革广东</w:t>
      </w:r>
      <w:r>
        <w:rPr>
          <w:rFonts w:hint="eastAsia" w:ascii="仿宋" w:hAnsi="仿宋" w:eastAsia="仿宋" w:cs="仿宋"/>
          <w:snapToGrid w:val="0"/>
          <w:sz w:val="32"/>
          <w:szCs w:val="32"/>
        </w:rPr>
        <w:t>省委会机关内设4个处（室）</w:t>
      </w:r>
      <w:r>
        <w:rPr>
          <w:rFonts w:hint="eastAsia" w:ascii="仿宋" w:hAnsi="仿宋" w:eastAsia="仿宋" w:cs="仿宋"/>
          <w:snapToGrid w:val="0"/>
          <w:sz w:val="32"/>
          <w:szCs w:val="32"/>
          <w:lang w:eastAsia="zh-CN"/>
        </w:rPr>
        <w:t>：</w:t>
      </w:r>
      <w:r>
        <w:rPr>
          <w:rFonts w:hint="eastAsia" w:ascii="仿宋" w:hAnsi="仿宋" w:eastAsia="仿宋" w:cs="仿宋"/>
          <w:snapToGrid w:val="0"/>
          <w:sz w:val="32"/>
          <w:szCs w:val="32"/>
        </w:rPr>
        <w:t>办公室、组织处、宣传处、参政议政</w:t>
      </w:r>
      <w:r>
        <w:rPr>
          <w:rFonts w:hint="eastAsia" w:ascii="仿宋" w:hAnsi="仿宋" w:eastAsia="仿宋" w:cs="仿宋"/>
          <w:snapToGrid w:val="0"/>
          <w:sz w:val="32"/>
          <w:szCs w:val="32"/>
          <w:lang w:val="en-US" w:eastAsia="zh-CN"/>
        </w:rPr>
        <w:t>工作</w:t>
      </w:r>
      <w:r>
        <w:rPr>
          <w:rFonts w:hint="eastAsia" w:ascii="仿宋" w:hAnsi="仿宋" w:eastAsia="仿宋" w:cs="仿宋"/>
          <w:snapToGrid w:val="0"/>
          <w:sz w:val="32"/>
          <w:szCs w:val="32"/>
        </w:rPr>
        <w:t>处</w:t>
      </w:r>
      <w:r>
        <w:rPr>
          <w:rFonts w:hint="eastAsia" w:ascii="仿宋" w:hAnsi="仿宋" w:eastAsia="仿宋" w:cs="仿宋"/>
          <w:snapToGrid w:val="0"/>
          <w:sz w:val="32"/>
          <w:szCs w:val="32"/>
          <w:lang w:eastAsia="zh-CN"/>
        </w:rPr>
        <w:t>，职能如下：</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3"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办公室</w:t>
      </w:r>
      <w:r>
        <w:rPr>
          <w:rFonts w:hint="eastAsia" w:ascii="仿宋" w:hAnsi="仿宋" w:eastAsia="仿宋" w:cs="仿宋"/>
          <w:b/>
          <w:bCs/>
          <w:sz w:val="32"/>
          <w:szCs w:val="32"/>
          <w:lang w:eastAsia="zh-CN"/>
        </w:rPr>
        <w:t>：</w:t>
      </w:r>
      <w:r>
        <w:rPr>
          <w:rFonts w:hint="eastAsia" w:ascii="仿宋" w:hAnsi="仿宋" w:eastAsia="仿宋" w:cs="仿宋"/>
          <w:sz w:val="32"/>
          <w:szCs w:val="32"/>
          <w:lang w:eastAsia="zh-CN"/>
        </w:rPr>
        <w:t>负责</w:t>
      </w:r>
      <w:r>
        <w:rPr>
          <w:rFonts w:hint="eastAsia" w:ascii="仿宋" w:hAnsi="仿宋" w:eastAsia="仿宋" w:cs="仿宋"/>
          <w:sz w:val="32"/>
          <w:szCs w:val="32"/>
          <w:lang w:val="en-US" w:eastAsia="zh-CN"/>
        </w:rPr>
        <w:t>制定</w:t>
      </w:r>
      <w:r>
        <w:rPr>
          <w:rFonts w:hint="eastAsia" w:ascii="仿宋" w:hAnsi="仿宋" w:eastAsia="仿宋" w:cs="仿宋"/>
          <w:sz w:val="32"/>
          <w:szCs w:val="32"/>
        </w:rPr>
        <w:t>本会工作计划</w:t>
      </w:r>
      <w:r>
        <w:rPr>
          <w:rFonts w:hint="eastAsia" w:ascii="仿宋" w:hAnsi="仿宋" w:eastAsia="仿宋" w:cs="仿宋"/>
          <w:sz w:val="32"/>
          <w:szCs w:val="32"/>
          <w:lang w:eastAsia="zh-CN"/>
        </w:rPr>
        <w:t>，年终</w:t>
      </w:r>
      <w:r>
        <w:rPr>
          <w:rFonts w:hint="eastAsia" w:ascii="仿宋" w:hAnsi="仿宋" w:eastAsia="仿宋" w:cs="仿宋"/>
          <w:sz w:val="32"/>
          <w:szCs w:val="32"/>
        </w:rPr>
        <w:t>工作报告和工作总结</w:t>
      </w:r>
      <w:r>
        <w:rPr>
          <w:rFonts w:hint="eastAsia" w:ascii="仿宋" w:hAnsi="仿宋" w:eastAsia="仿宋" w:cs="仿宋"/>
          <w:sz w:val="32"/>
          <w:szCs w:val="32"/>
          <w:lang w:eastAsia="zh-CN"/>
        </w:rPr>
        <w:t>；省委会全体会议工作报告；</w:t>
      </w:r>
      <w:r>
        <w:rPr>
          <w:rFonts w:hint="eastAsia" w:ascii="仿宋" w:hAnsi="仿宋" w:eastAsia="仿宋" w:cs="仿宋"/>
          <w:sz w:val="32"/>
          <w:szCs w:val="32"/>
        </w:rPr>
        <w:t>起草有关会议方案和文件；草拟主要领导的发言稿</w:t>
      </w:r>
      <w:r>
        <w:rPr>
          <w:rFonts w:hint="eastAsia" w:ascii="仿宋" w:hAnsi="仿宋" w:eastAsia="仿宋" w:cs="仿宋"/>
          <w:sz w:val="32"/>
          <w:szCs w:val="32"/>
          <w:lang w:eastAsia="zh-CN"/>
        </w:rPr>
        <w:t>；</w:t>
      </w:r>
      <w:r>
        <w:rPr>
          <w:rFonts w:hint="eastAsia" w:ascii="仿宋" w:hAnsi="仿宋" w:eastAsia="仿宋" w:cs="仿宋"/>
          <w:sz w:val="32"/>
          <w:szCs w:val="32"/>
        </w:rPr>
        <w:t>审核地方组织综合性报告；负责有关</w:t>
      </w:r>
      <w:r>
        <w:rPr>
          <w:rFonts w:hint="eastAsia" w:ascii="仿宋" w:hAnsi="仿宋" w:eastAsia="仿宋" w:cs="仿宋"/>
          <w:sz w:val="32"/>
          <w:szCs w:val="32"/>
          <w:lang w:val="en-US" w:eastAsia="zh-CN"/>
        </w:rPr>
        <w:t>各类</w:t>
      </w:r>
      <w:r>
        <w:rPr>
          <w:rFonts w:hint="eastAsia" w:ascii="仿宋" w:hAnsi="仿宋" w:eastAsia="仿宋" w:cs="仿宋"/>
          <w:sz w:val="32"/>
          <w:szCs w:val="32"/>
        </w:rPr>
        <w:t>会议的</w:t>
      </w:r>
      <w:r>
        <w:rPr>
          <w:rFonts w:hint="eastAsia" w:ascii="仿宋" w:hAnsi="仿宋" w:eastAsia="仿宋" w:cs="仿宋"/>
          <w:sz w:val="32"/>
          <w:szCs w:val="32"/>
          <w:lang w:eastAsia="zh-CN"/>
        </w:rPr>
        <w:t>文稿、</w:t>
      </w:r>
      <w:r>
        <w:rPr>
          <w:rFonts w:hint="eastAsia" w:ascii="仿宋" w:hAnsi="仿宋" w:eastAsia="仿宋" w:cs="仿宋"/>
          <w:sz w:val="32"/>
          <w:szCs w:val="32"/>
        </w:rPr>
        <w:t>会务工作</w:t>
      </w:r>
      <w:r>
        <w:rPr>
          <w:rFonts w:hint="eastAsia" w:ascii="仿宋" w:hAnsi="仿宋" w:eastAsia="仿宋" w:cs="仿宋"/>
          <w:sz w:val="32"/>
          <w:szCs w:val="32"/>
          <w:lang w:eastAsia="zh-CN"/>
        </w:rPr>
        <w:t>，</w:t>
      </w:r>
      <w:r>
        <w:rPr>
          <w:rFonts w:hint="eastAsia" w:ascii="仿宋" w:hAnsi="仿宋" w:eastAsia="仿宋" w:cs="仿宋"/>
          <w:sz w:val="32"/>
          <w:szCs w:val="32"/>
        </w:rPr>
        <w:t>机关文件收发、文书、档案、财务、接待、工资福利、文件保密、社保、基建、后勤服务、干部职工考勤、机关离退休干部、职工以及公医等工作</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以及做好全省民革党员的服务工作</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3"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2.组织处：</w:t>
      </w:r>
      <w:r>
        <w:rPr>
          <w:rFonts w:hint="eastAsia" w:ascii="仿宋" w:hAnsi="仿宋" w:eastAsia="仿宋" w:cs="仿宋"/>
          <w:sz w:val="32"/>
          <w:szCs w:val="32"/>
        </w:rPr>
        <w:t>按照民革中央和民革党章要求，负责指导全省组织发展、组织建设工作；</w:t>
      </w:r>
      <w:r>
        <w:rPr>
          <w:rFonts w:hint="eastAsia" w:ascii="仿宋" w:hAnsi="仿宋" w:eastAsia="仿宋" w:cs="仿宋"/>
          <w:sz w:val="32"/>
          <w:szCs w:val="32"/>
          <w:lang w:eastAsia="zh-CN"/>
        </w:rPr>
        <w:t>负责达标支部、示范支部建设工作；</w:t>
      </w:r>
      <w:r>
        <w:rPr>
          <w:rFonts w:hint="eastAsia" w:ascii="仿宋" w:hAnsi="仿宋" w:eastAsia="仿宋" w:cs="仿宋"/>
          <w:sz w:val="32"/>
          <w:szCs w:val="32"/>
        </w:rPr>
        <w:t>负责全省后备干部队伍建设工作；负责办理党员党籍、档案材料和地方组织缴纳党费的管理工作；负责机关人事、教育、培训和因私（公）出国及赴港澳台地区的政审工作；办理党员来信来访和党员奖励、党纪处理；负责机关人事</w:t>
      </w:r>
      <w:r>
        <w:rPr>
          <w:rFonts w:hint="eastAsia" w:ascii="仿宋" w:hAnsi="仿宋" w:eastAsia="仿宋" w:cs="仿宋"/>
          <w:sz w:val="32"/>
          <w:szCs w:val="32"/>
          <w:lang w:eastAsia="zh-CN"/>
        </w:rPr>
        <w:t>工作及人事</w:t>
      </w:r>
      <w:r>
        <w:rPr>
          <w:rFonts w:hint="eastAsia" w:ascii="仿宋" w:hAnsi="仿宋" w:eastAsia="仿宋" w:cs="仿宋"/>
          <w:sz w:val="32"/>
          <w:szCs w:val="32"/>
        </w:rPr>
        <w:t>档案的保管工作；负责计生工作。</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3"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3.宣传处：</w:t>
      </w:r>
      <w:r>
        <w:rPr>
          <w:rFonts w:hint="eastAsia" w:ascii="仿宋" w:hAnsi="仿宋" w:eastAsia="仿宋" w:cs="仿宋"/>
          <w:sz w:val="32"/>
          <w:szCs w:val="32"/>
        </w:rPr>
        <w:t>负责重要会议、报告的组织学习、传达、宣传和重要节日活动的组织工作；指导地方组织和省直属支部思想政治教育和政治思想建设工作；</w:t>
      </w:r>
      <w:r>
        <w:rPr>
          <w:rFonts w:hint="eastAsia" w:ascii="仿宋" w:hAnsi="仿宋" w:eastAsia="仿宋" w:cs="仿宋"/>
          <w:sz w:val="32"/>
          <w:szCs w:val="32"/>
          <w:lang w:eastAsia="zh-CN"/>
        </w:rPr>
        <w:t>指导民革党员之家建设；</w:t>
      </w:r>
      <w:r>
        <w:rPr>
          <w:rFonts w:hint="eastAsia" w:ascii="仿宋" w:hAnsi="仿宋" w:eastAsia="仿宋" w:cs="仿宋"/>
          <w:sz w:val="32"/>
          <w:szCs w:val="32"/>
        </w:rPr>
        <w:t>了解掌握党员思想动态，及时反映情况；负责主办有关刊物、管理图书、报刊资料、整理和编撰文史资料；承担广东民革孙中山研究学会的日常工作；负责管理孙中山书画</w:t>
      </w:r>
      <w:r>
        <w:rPr>
          <w:rFonts w:hint="eastAsia" w:ascii="仿宋" w:hAnsi="仿宋" w:eastAsia="仿宋" w:cs="仿宋"/>
          <w:sz w:val="32"/>
          <w:szCs w:val="32"/>
          <w:lang w:eastAsia="zh-CN"/>
        </w:rPr>
        <w:t>院</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3" w:firstLineChars="200"/>
        <w:jc w:val="left"/>
        <w:textAlignment w:val="auto"/>
        <w:outlineLvl w:val="9"/>
        <w:rPr>
          <w:rFonts w:hint="eastAsia" w:ascii="仿宋" w:hAnsi="仿宋" w:eastAsia="仿宋" w:cs="仿宋"/>
          <w:sz w:val="32"/>
          <w:szCs w:val="32"/>
        </w:rPr>
      </w:pPr>
      <w:r>
        <w:rPr>
          <w:rFonts w:hint="eastAsia" w:ascii="仿宋" w:hAnsi="仿宋" w:eastAsia="仿宋" w:cs="仿宋"/>
          <w:b/>
          <w:bCs/>
          <w:sz w:val="32"/>
          <w:szCs w:val="32"/>
          <w:lang w:val="en-US" w:eastAsia="zh-CN"/>
        </w:rPr>
        <w:t>4.参政议政工作处：</w:t>
      </w:r>
      <w:r>
        <w:rPr>
          <w:rFonts w:hint="eastAsia" w:ascii="仿宋" w:hAnsi="仿宋" w:eastAsia="仿宋" w:cs="仿宋"/>
          <w:sz w:val="32"/>
          <w:szCs w:val="32"/>
        </w:rPr>
        <w:t>负责处理参政议政日常工作，推动、支持、协助民革党员积极参政议政；做好与民革党员担任特约监察员、检察员、审计员、教育督导员的联系工作，推动人大代表、政协委员提出议案、提案；组织重点提案的专题调研；参与统战系统联合调研活动；起草有关提案、政协大会发言；做好与各专门委员会的联系、协调、服务工作；加强与民革中央、省委统战部、有关业务部门及各市委会的业务联系；编辑《台湾情况》，收集整理有关信息；联系重要台属和侨属。</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华文楷体" w:hAnsi="华文楷体" w:eastAsia="华文楷体" w:cs="华文楷体"/>
          <w:sz w:val="32"/>
          <w:szCs w:val="32"/>
          <w:shd w:val="clear" w:color="FFFFFF" w:fill="D9D9D9"/>
        </w:rPr>
      </w:pPr>
      <w:r>
        <w:rPr>
          <w:rFonts w:hint="eastAsia" w:ascii="华文楷体" w:hAnsi="华文楷体" w:eastAsia="华文楷体" w:cs="华文楷体"/>
          <w:sz w:val="32"/>
          <w:szCs w:val="32"/>
          <w:lang w:eastAsia="zh-CN"/>
        </w:rPr>
        <w:t>（二）</w:t>
      </w:r>
      <w:r>
        <w:rPr>
          <w:rFonts w:hint="eastAsia" w:ascii="华文楷体" w:hAnsi="华文楷体" w:eastAsia="华文楷体" w:cs="华文楷体"/>
          <w:sz w:val="32"/>
          <w:szCs w:val="32"/>
          <w:shd w:val="clear" w:color="auto" w:fill="auto"/>
        </w:rPr>
        <w:t>年度总体工作和重点工作任务</w:t>
      </w:r>
    </w:p>
    <w:p>
      <w:pPr>
        <w:spacing w:line="240" w:lineRule="auto"/>
        <w:ind w:firstLine="640" w:firstLineChars="200"/>
        <w:rPr>
          <w:rFonts w:hint="eastAsia" w:ascii="楷体" w:hAnsi="楷体" w:eastAsia="楷体" w:cs="楷体"/>
          <w:b w:val="0"/>
          <w:bCs w:val="0"/>
          <w:sz w:val="32"/>
          <w:szCs w:val="44"/>
        </w:rPr>
      </w:pPr>
      <w:r>
        <w:rPr>
          <w:rFonts w:hint="eastAsia" w:ascii="仿宋" w:hAnsi="仿宋" w:eastAsia="仿宋" w:cs="仿宋"/>
          <w:sz w:val="32"/>
          <w:szCs w:val="44"/>
        </w:rPr>
        <w:t>在中共广东省委统战部的指导下，深入学习宣传、贯彻落实习近平新时代中国特色社会主义思想和中共二十大精神，各级组织和广大党员政治判断力、政治领悟力、政治执行力不断提高，在思想上政治上行动上自觉同以习近平同志为核心的中共中央保持高度一致，把忠诚拥护“两个确立”、坚决做到“两个维护”体现到实际行动上，多党合作的思想政治基础不断得到巩固和扩大。全面落实中共省委、省政府工作部署，以“保持定力、提高能力、增强动力、充满活力”为工作目标，将“四新”“三好”贯彻到工作的全过程，团结带领全省各级组织和广大党员按照民革“履职能力建设年”部署，始终坚持正确政治方向，全面推进作风建设，强化思想政治共识，做好新时期宣传工作，巩固组织建设成果，进一步提高组织建设水平，着力提高履职能力，助力构建脱贫长效机制，推进社会服务工作，力求增强实效，推动祖统工作创新，进一步履行政治协商、民主监督、参政议政各项职能，积极完成上级部门布置的各项工作任务。</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华文楷体" w:hAnsi="华文楷体" w:eastAsia="华文楷体" w:cs="华文楷体"/>
          <w:sz w:val="32"/>
          <w:szCs w:val="32"/>
          <w:shd w:val="clear" w:color="auto" w:fill="auto"/>
        </w:rPr>
      </w:pPr>
      <w:r>
        <w:rPr>
          <w:rFonts w:hint="eastAsia" w:ascii="华文楷体" w:hAnsi="华文楷体" w:eastAsia="华文楷体" w:cs="华文楷体"/>
          <w:sz w:val="32"/>
          <w:szCs w:val="32"/>
          <w:shd w:val="clear" w:color="auto" w:fill="auto"/>
        </w:rPr>
        <w:t>部门整体支出绩效目标</w:t>
      </w:r>
    </w:p>
    <w:p>
      <w:pPr>
        <w:spacing w:line="240" w:lineRule="auto"/>
        <w:ind w:firstLine="640" w:firstLineChars="200"/>
        <w:rPr>
          <w:rFonts w:hint="eastAsia"/>
        </w:rPr>
      </w:pPr>
      <w:r>
        <w:rPr>
          <w:rFonts w:hint="eastAsia" w:ascii="仿宋" w:hAnsi="仿宋" w:eastAsia="仿宋" w:cs="仿宋"/>
          <w:sz w:val="32"/>
          <w:szCs w:val="44"/>
          <w:lang w:eastAsia="zh-CN"/>
        </w:rPr>
        <w:t>全面落实中共省委、省政府工作部署，以“保持定力、提高能力、增强动力、充满活力”为工作目标，将“四新”“三好”贯彻到工作的全过程，团结带领全省各级组织和广大党员按照民革“履职能力建设年”部署，始终坚持正确政治方向，全面推进作风建设，强化思想政治共识，做好新时期宣传工作，印制《广东民革》杂志四期；巩固组织建设成果，进一步提高组织建设水平，使年度骨干培训计划完成率达75%；着力提高履职能力，助力构建脱贫长效机制，推进社会服务工作，力求增强实效，推动祖统工作创新，进一步履行政治协商、民主监督、参政议政各项职能，课题（调研）提案转化率85%，确保参政议政提案立案率80%，积极完成上级部门布置的各项工作任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eastAsia="zh-CN"/>
        </w:rPr>
      </w:pPr>
      <w:r>
        <w:rPr>
          <w:rFonts w:hint="eastAsia" w:ascii="华文楷体" w:hAnsi="华文楷体" w:eastAsia="华文楷体" w:cs="华文楷体"/>
          <w:sz w:val="32"/>
          <w:szCs w:val="32"/>
          <w:lang w:eastAsia="zh-CN"/>
        </w:rPr>
        <w:t>（四）</w:t>
      </w:r>
      <w:r>
        <w:rPr>
          <w:rFonts w:hint="eastAsia" w:ascii="华文楷体" w:hAnsi="华文楷体" w:eastAsia="华文楷体" w:cs="华文楷体"/>
          <w:sz w:val="32"/>
          <w:szCs w:val="32"/>
          <w:shd w:val="clear" w:color="auto" w:fill="auto"/>
        </w:rPr>
        <w:t>部门整体支出情况</w:t>
      </w:r>
      <w:r>
        <w:rPr>
          <w:rFonts w:hint="eastAsia" w:ascii="华文楷体" w:hAnsi="华文楷体" w:eastAsia="华文楷体" w:cs="华文楷体"/>
          <w:sz w:val="32"/>
          <w:szCs w:val="32"/>
          <w:lang w:eastAsia="zh-CN"/>
        </w:rPr>
        <w:t>（以决算数为统计口径）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年度本部门实际支出</w:t>
      </w:r>
      <w:r>
        <w:rPr>
          <w:rFonts w:hint="eastAsia" w:ascii="仿宋" w:hAnsi="仿宋" w:eastAsia="仿宋" w:cs="仿宋"/>
          <w:sz w:val="32"/>
          <w:szCs w:val="32"/>
          <w:lang w:val="en-US" w:eastAsia="zh-CN"/>
        </w:rPr>
        <w:t>2066.44</w:t>
      </w:r>
      <w:r>
        <w:rPr>
          <w:rFonts w:hint="eastAsia" w:ascii="仿宋" w:hAnsi="仿宋" w:eastAsia="仿宋" w:cs="仿宋"/>
          <w:sz w:val="32"/>
          <w:szCs w:val="32"/>
        </w:rPr>
        <w:t>万元，其中财政拨款：</w:t>
      </w:r>
      <w:r>
        <w:rPr>
          <w:rFonts w:hint="eastAsia" w:ascii="仿宋" w:hAnsi="仿宋" w:eastAsia="仿宋" w:cs="仿宋"/>
          <w:sz w:val="32"/>
          <w:szCs w:val="32"/>
          <w:lang w:val="en-US" w:eastAsia="zh-CN"/>
        </w:rPr>
        <w:t>2066.44</w:t>
      </w:r>
      <w:r>
        <w:rPr>
          <w:rFonts w:hint="eastAsia" w:ascii="仿宋" w:hAnsi="仿宋" w:eastAsia="仿宋" w:cs="仿宋"/>
          <w:sz w:val="32"/>
          <w:szCs w:val="32"/>
        </w:rPr>
        <w:t>万元，占100%。政府性基金支出0万元。</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rPr>
        <w:t>按照支出用途分类，基本支出：</w:t>
      </w:r>
      <w:r>
        <w:rPr>
          <w:rFonts w:hint="eastAsia" w:ascii="仿宋" w:hAnsi="仿宋" w:eastAsia="仿宋" w:cs="仿宋"/>
          <w:b w:val="0"/>
          <w:bCs w:val="0"/>
          <w:kern w:val="0"/>
          <w:sz w:val="32"/>
          <w:szCs w:val="32"/>
          <w:highlight w:val="none"/>
        </w:rPr>
        <w:t>1817.89</w:t>
      </w:r>
      <w:r>
        <w:rPr>
          <w:rFonts w:hint="eastAsia" w:ascii="仿宋" w:hAnsi="仿宋" w:eastAsia="仿宋" w:cs="仿宋"/>
          <w:sz w:val="32"/>
          <w:szCs w:val="32"/>
        </w:rPr>
        <w:t>万元，占总支出</w:t>
      </w:r>
      <w:r>
        <w:rPr>
          <w:rFonts w:hint="eastAsia" w:ascii="仿宋" w:hAnsi="仿宋" w:eastAsia="仿宋" w:cs="仿宋"/>
          <w:sz w:val="32"/>
          <w:szCs w:val="32"/>
          <w:lang w:val="en-US" w:eastAsia="zh-CN"/>
        </w:rPr>
        <w:t>87.97</w:t>
      </w:r>
      <w:r>
        <w:rPr>
          <w:rFonts w:hint="eastAsia" w:ascii="仿宋" w:hAnsi="仿宋" w:eastAsia="仿宋" w:cs="仿宋"/>
          <w:sz w:val="32"/>
          <w:szCs w:val="32"/>
        </w:rPr>
        <w:t>%，项目支出：</w:t>
      </w:r>
      <w:r>
        <w:rPr>
          <w:rFonts w:hint="eastAsia" w:ascii="仿宋" w:hAnsi="仿宋" w:eastAsia="仿宋" w:cs="仿宋"/>
          <w:b w:val="0"/>
          <w:bCs w:val="0"/>
          <w:kern w:val="0"/>
          <w:sz w:val="32"/>
          <w:szCs w:val="32"/>
          <w:highlight w:val="none"/>
        </w:rPr>
        <w:t>248.5</w:t>
      </w:r>
      <w:r>
        <w:rPr>
          <w:rFonts w:hint="eastAsia" w:ascii="仿宋" w:hAnsi="仿宋" w:eastAsia="仿宋" w:cs="仿宋"/>
          <w:b w:val="0"/>
          <w:bCs w:val="0"/>
          <w:kern w:val="0"/>
          <w:sz w:val="32"/>
          <w:szCs w:val="32"/>
          <w:highlight w:val="none"/>
          <w:lang w:val="en-US" w:eastAsia="zh-CN"/>
        </w:rPr>
        <w:t>5</w:t>
      </w:r>
      <w:r>
        <w:rPr>
          <w:rFonts w:hint="eastAsia" w:ascii="仿宋" w:hAnsi="仿宋" w:eastAsia="仿宋" w:cs="仿宋"/>
          <w:sz w:val="32"/>
          <w:szCs w:val="32"/>
        </w:rPr>
        <w:t>万元，占总支出</w:t>
      </w:r>
      <w:r>
        <w:rPr>
          <w:rFonts w:hint="eastAsia" w:ascii="仿宋" w:hAnsi="仿宋" w:eastAsia="仿宋" w:cs="仿宋"/>
          <w:sz w:val="32"/>
          <w:szCs w:val="32"/>
          <w:lang w:val="en-US" w:eastAsia="zh-CN"/>
        </w:rPr>
        <w:t>12.03</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其中工资福利支出</w:t>
      </w:r>
      <w:r>
        <w:rPr>
          <w:rFonts w:hint="eastAsia" w:ascii="仿宋" w:hAnsi="仿宋" w:eastAsia="仿宋" w:cs="仿宋"/>
          <w:sz w:val="32"/>
          <w:szCs w:val="32"/>
          <w:lang w:val="en-US" w:eastAsia="zh-CN"/>
        </w:rPr>
        <w:t>1412.13</w:t>
      </w:r>
      <w:r>
        <w:rPr>
          <w:rFonts w:hint="eastAsia" w:ascii="仿宋" w:hAnsi="仿宋" w:eastAsia="仿宋" w:cs="仿宋"/>
          <w:sz w:val="32"/>
          <w:szCs w:val="32"/>
        </w:rPr>
        <w:t>万元，对个人和家庭的补助支出</w:t>
      </w:r>
      <w:r>
        <w:rPr>
          <w:rFonts w:hint="eastAsia" w:ascii="仿宋" w:hAnsi="仿宋" w:eastAsia="仿宋" w:cs="仿宋"/>
          <w:sz w:val="32"/>
          <w:szCs w:val="32"/>
          <w:lang w:val="en-US" w:eastAsia="zh-CN"/>
        </w:rPr>
        <w:t>308.11</w:t>
      </w:r>
      <w:r>
        <w:rPr>
          <w:rFonts w:hint="eastAsia" w:ascii="仿宋" w:hAnsi="仿宋" w:eastAsia="仿宋" w:cs="仿宋"/>
          <w:sz w:val="32"/>
          <w:szCs w:val="32"/>
        </w:rPr>
        <w:t>万元，其他商品服务支出</w:t>
      </w:r>
      <w:r>
        <w:rPr>
          <w:rFonts w:hint="eastAsia" w:ascii="仿宋" w:hAnsi="仿宋" w:eastAsia="仿宋" w:cs="仿宋"/>
          <w:sz w:val="32"/>
          <w:szCs w:val="32"/>
          <w:lang w:val="en-US" w:eastAsia="zh-CN"/>
        </w:rPr>
        <w:t>336.19</w:t>
      </w:r>
      <w:r>
        <w:rPr>
          <w:rFonts w:hint="eastAsia" w:ascii="仿宋" w:hAnsi="仿宋" w:eastAsia="仿宋" w:cs="仿宋"/>
          <w:sz w:val="32"/>
          <w:szCs w:val="32"/>
        </w:rPr>
        <w:t>万元，其他资本性支出</w:t>
      </w:r>
      <w:r>
        <w:rPr>
          <w:rFonts w:hint="eastAsia" w:ascii="仿宋" w:hAnsi="仿宋" w:eastAsia="仿宋" w:cs="仿宋"/>
          <w:sz w:val="32"/>
          <w:szCs w:val="32"/>
          <w:lang w:val="en-US" w:eastAsia="zh-CN"/>
        </w:rPr>
        <w:t>10.00</w:t>
      </w:r>
      <w:r>
        <w:rPr>
          <w:rFonts w:hint="eastAsia" w:ascii="仿宋" w:hAnsi="仿宋" w:eastAsia="仿宋" w:cs="仿宋"/>
          <w:sz w:val="32"/>
          <w:szCs w:val="32"/>
        </w:rPr>
        <w:t>元。</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黑体" w:hAnsi="黑体" w:eastAsia="黑体" w:cs="黑体"/>
          <w:sz w:val="32"/>
          <w:szCs w:val="32"/>
        </w:rPr>
        <w:t>二、绩效自评情况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华文楷体" w:hAnsi="华文楷体" w:eastAsia="华文楷体" w:cs="华文楷体"/>
          <w:sz w:val="32"/>
          <w:szCs w:val="32"/>
        </w:rPr>
        <w:t>（一）自评结论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根据省财政预算管理要求，</w:t>
      </w:r>
      <w:r>
        <w:rPr>
          <w:rFonts w:hint="eastAsia" w:ascii="仿宋" w:hAnsi="仿宋" w:eastAsia="仿宋" w:cs="仿宋"/>
          <w:sz w:val="32"/>
          <w:szCs w:val="32"/>
          <w:lang w:val="en-US" w:eastAsia="zh-CN"/>
        </w:rPr>
        <w:t>2025年度本部门开展对一般公共预算整体支出进行绩效自评共涉及资金2066.44万元，占一般公共预算整体支出总额的100%。</w:t>
      </w:r>
      <w:r>
        <w:rPr>
          <w:rFonts w:hint="eastAsia" w:ascii="仿宋" w:hAnsi="仿宋" w:eastAsia="仿宋" w:cs="仿宋"/>
          <w:sz w:val="32"/>
          <w:szCs w:val="32"/>
        </w:rPr>
        <w:t>经对部门整体支出的“目标设定”的合理性、相关性、明确性,“预算配置”的合理性、科学性，“预算执行和管理”的合法合规性、完整性，“资产管理”的合法合规性、规范性，“履职产出和效果”的真实性、相关性等方面进行全面详细分析计算，</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年度部门财政整体支出绩效自评结果</w:t>
      </w:r>
      <w:r>
        <w:rPr>
          <w:rFonts w:hint="eastAsia" w:ascii="仿宋" w:hAnsi="仿宋" w:eastAsia="仿宋" w:cs="仿宋"/>
          <w:sz w:val="32"/>
          <w:szCs w:val="32"/>
          <w:lang w:val="en-US" w:eastAsia="zh-CN"/>
        </w:rPr>
        <w:t>评级“好”</w:t>
      </w:r>
      <w:r>
        <w:rPr>
          <w:rFonts w:hint="eastAsia" w:ascii="仿宋" w:hAnsi="仿宋" w:eastAsia="仿宋" w:cs="仿宋"/>
          <w:sz w:val="32"/>
          <w:szCs w:val="32"/>
        </w:rPr>
        <w:t>。</w:t>
      </w:r>
      <w:r>
        <w:rPr>
          <w:rFonts w:hint="eastAsia" w:ascii="仿宋" w:hAnsi="仿宋" w:eastAsia="仿宋" w:cs="仿宋"/>
          <w:sz w:val="32"/>
          <w:szCs w:val="32"/>
          <w:lang w:eastAsia="zh-CN"/>
        </w:rPr>
        <w:t>整体支出绩效指标完成情况如下截止20</w:t>
      </w:r>
      <w:r>
        <w:rPr>
          <w:rFonts w:hint="eastAsia" w:ascii="仿宋" w:hAnsi="仿宋" w:eastAsia="仿宋" w:cs="仿宋"/>
          <w:sz w:val="32"/>
          <w:szCs w:val="32"/>
          <w:lang w:val="en-US" w:eastAsia="zh-CN"/>
        </w:rPr>
        <w:t>25</w:t>
      </w:r>
      <w:r>
        <w:rPr>
          <w:rFonts w:hint="eastAsia" w:ascii="仿宋" w:hAnsi="仿宋" w:eastAsia="仿宋" w:cs="仿宋"/>
          <w:sz w:val="32"/>
          <w:szCs w:val="32"/>
          <w:lang w:eastAsia="zh-CN"/>
        </w:rPr>
        <w:t>年底，本单位顺利完成当年预算执行绩效目标，具体如下：</w:t>
      </w:r>
      <w:r>
        <w:rPr>
          <w:rFonts w:hint="eastAsia" w:ascii="仿宋" w:hAnsi="仿宋" w:eastAsia="仿宋" w:cs="仿宋"/>
          <w:kern w:val="0"/>
          <w:sz w:val="32"/>
          <w:szCs w:val="44"/>
        </w:rPr>
        <w:t>在</w:t>
      </w:r>
      <w:r>
        <w:rPr>
          <w:rFonts w:hint="eastAsia" w:ascii="仿宋" w:hAnsi="仿宋" w:eastAsia="仿宋" w:cs="仿宋"/>
          <w:kern w:val="0"/>
          <w:sz w:val="32"/>
          <w:szCs w:val="44"/>
          <w:lang w:val="en-US" w:eastAsia="zh-CN"/>
        </w:rPr>
        <w:t>2025年初召开的省</w:t>
      </w:r>
      <w:r>
        <w:rPr>
          <w:rFonts w:hint="eastAsia" w:ascii="仿宋" w:hAnsi="仿宋" w:eastAsia="仿宋" w:cs="仿宋"/>
          <w:kern w:val="0"/>
          <w:sz w:val="32"/>
          <w:szCs w:val="44"/>
        </w:rPr>
        <w:t>政协十三届三次会议上，4件集体提案和3件个人提案被评为2024年优秀提案，1名党员被评为2024年履职优秀委员；提交49件集体提案，6件被列为重点督办提案，连续第6年实现中共省委书记、省长、省政协主席会议重点督办提案“大满贯”。</w:t>
      </w:r>
      <w:r>
        <w:rPr>
          <w:rFonts w:hint="eastAsia" w:ascii="仿宋" w:hAnsi="仿宋" w:eastAsia="仿宋" w:cs="仿宋"/>
          <w:b w:val="0"/>
          <w:bCs w:val="0"/>
          <w:kern w:val="0"/>
          <w:sz w:val="32"/>
          <w:szCs w:val="44"/>
        </w:rPr>
        <w:t>信息工作成效显著，《关于打破欧美生物医学数据霸权，加快构建自主可控科研软件生态体系》等“直通车”信息获中共省委、省政府领导批示；向民革中央、省政协、中共省委统战部报送信息120余篇，被民革中央采用32篇、全国政协采用</w:t>
      </w:r>
      <w:r>
        <w:rPr>
          <w:rFonts w:hint="eastAsia" w:ascii="仿宋" w:hAnsi="仿宋" w:eastAsia="仿宋" w:cs="仿宋"/>
          <w:b w:val="0"/>
          <w:bCs w:val="0"/>
          <w:kern w:val="0"/>
          <w:sz w:val="32"/>
          <w:szCs w:val="44"/>
          <w:lang w:val="en-US" w:eastAsia="zh-CN"/>
        </w:rPr>
        <w:t>12</w:t>
      </w:r>
      <w:r>
        <w:rPr>
          <w:rFonts w:hint="eastAsia" w:ascii="仿宋" w:hAnsi="仿宋" w:eastAsia="仿宋" w:cs="仿宋"/>
          <w:b w:val="0"/>
          <w:bCs w:val="0"/>
          <w:kern w:val="0"/>
          <w:sz w:val="32"/>
          <w:szCs w:val="44"/>
        </w:rPr>
        <w:t>篇；省委会荣获民革中央2024-2025年度反映社情民意信息工作先进集体。持续在特色领域发力，围绕盐碱地综合治理持续开展调研；关注司法科技生态体系建设，助推全国法院人工智能司法应用联合创新（深圳）基地启动。</w:t>
      </w:r>
      <w:r>
        <w:rPr>
          <w:rFonts w:hint="eastAsia" w:ascii="仿宋" w:hAnsi="仿宋" w:eastAsia="仿宋" w:cs="仿宋"/>
          <w:sz w:val="32"/>
          <w:szCs w:val="32"/>
          <w:lang w:eastAsia="zh-CN"/>
        </w:rPr>
        <w:t>参政议政成果立案率90%。赴全省10多个地级市开展了调研，调研课题形成提案</w:t>
      </w:r>
      <w:r>
        <w:rPr>
          <w:rFonts w:hint="eastAsia" w:ascii="仿宋" w:hAnsi="仿宋" w:eastAsia="仿宋" w:cs="仿宋"/>
          <w:sz w:val="32"/>
          <w:szCs w:val="32"/>
          <w:lang w:val="en-US" w:eastAsia="zh-CN"/>
        </w:rPr>
        <w:t>30</w:t>
      </w:r>
      <w:r>
        <w:rPr>
          <w:rFonts w:hint="eastAsia" w:ascii="仿宋" w:hAnsi="仿宋" w:eastAsia="仿宋" w:cs="仿宋"/>
          <w:sz w:val="32"/>
          <w:szCs w:val="32"/>
          <w:lang w:eastAsia="zh-CN"/>
        </w:rPr>
        <w:t>件，课题研究结题评审通过率9</w:t>
      </w:r>
      <w:r>
        <w:rPr>
          <w:rFonts w:hint="eastAsia" w:ascii="仿宋" w:hAnsi="仿宋" w:eastAsia="仿宋" w:cs="仿宋"/>
          <w:sz w:val="32"/>
          <w:szCs w:val="32"/>
          <w:lang w:val="en-US" w:eastAsia="zh-CN"/>
        </w:rPr>
        <w:t>0</w:t>
      </w:r>
      <w:r>
        <w:rPr>
          <w:rFonts w:hint="eastAsia" w:ascii="仿宋" w:hAnsi="仿宋" w:eastAsia="仿宋" w:cs="仿宋"/>
          <w:sz w:val="32"/>
          <w:szCs w:val="32"/>
          <w:lang w:eastAsia="zh-CN"/>
        </w:rPr>
        <w:t>%,调研提案转化率9</w:t>
      </w:r>
      <w:r>
        <w:rPr>
          <w:rFonts w:hint="eastAsia" w:ascii="仿宋" w:hAnsi="仿宋" w:eastAsia="仿宋" w:cs="仿宋"/>
          <w:sz w:val="32"/>
          <w:szCs w:val="32"/>
          <w:lang w:val="en-US" w:eastAsia="zh-CN"/>
        </w:rPr>
        <w:t>0</w:t>
      </w:r>
      <w:r>
        <w:rPr>
          <w:rFonts w:hint="eastAsia" w:ascii="仿宋" w:hAnsi="仿宋" w:eastAsia="仿宋" w:cs="仿宋"/>
          <w:sz w:val="32"/>
          <w:szCs w:val="32"/>
          <w:lang w:eastAsia="zh-CN"/>
        </w:rPr>
        <w:t>%。社情民意信息报送</w:t>
      </w:r>
      <w:r>
        <w:rPr>
          <w:rFonts w:hint="eastAsia" w:ascii="仿宋" w:hAnsi="仿宋" w:eastAsia="仿宋" w:cs="仿宋"/>
          <w:sz w:val="32"/>
          <w:szCs w:val="32"/>
          <w:lang w:val="en-US" w:eastAsia="zh-CN"/>
        </w:rPr>
        <w:t>49</w:t>
      </w:r>
      <w:r>
        <w:rPr>
          <w:rFonts w:hint="eastAsia" w:ascii="仿宋" w:hAnsi="仿宋" w:eastAsia="仿宋" w:cs="仿宋"/>
          <w:sz w:val="32"/>
          <w:szCs w:val="32"/>
          <w:lang w:eastAsia="zh-CN"/>
        </w:rPr>
        <w:t>条，被采用</w:t>
      </w:r>
      <w:r>
        <w:rPr>
          <w:rFonts w:hint="eastAsia" w:ascii="仿宋" w:hAnsi="仿宋" w:eastAsia="仿宋" w:cs="仿宋"/>
          <w:sz w:val="32"/>
          <w:szCs w:val="32"/>
          <w:lang w:val="en-US" w:eastAsia="zh-CN"/>
        </w:rPr>
        <w:t>率48.90%</w:t>
      </w:r>
      <w:r>
        <w:rPr>
          <w:rFonts w:hint="eastAsia" w:ascii="仿宋" w:hAnsi="仿宋" w:eastAsia="仿宋" w:cs="仿宋"/>
          <w:sz w:val="32"/>
          <w:szCs w:val="32"/>
          <w:lang w:eastAsia="zh-CN"/>
        </w:rPr>
        <w:t>。广东民革微信公众号推送文章1</w:t>
      </w:r>
      <w:r>
        <w:rPr>
          <w:rFonts w:hint="eastAsia" w:ascii="仿宋" w:hAnsi="仿宋" w:eastAsia="仿宋" w:cs="仿宋"/>
          <w:sz w:val="32"/>
          <w:szCs w:val="32"/>
          <w:lang w:val="en-US" w:eastAsia="zh-CN"/>
        </w:rPr>
        <w:t>29</w:t>
      </w:r>
      <w:r>
        <w:rPr>
          <w:rFonts w:hint="eastAsia" w:ascii="仿宋" w:hAnsi="仿宋" w:eastAsia="仿宋" w:cs="仿宋"/>
          <w:sz w:val="32"/>
          <w:szCs w:val="32"/>
          <w:lang w:eastAsia="zh-CN"/>
        </w:rPr>
        <w:t>篇，省委会网站推送文章报道</w:t>
      </w:r>
      <w:r>
        <w:rPr>
          <w:rFonts w:hint="eastAsia" w:ascii="仿宋" w:hAnsi="仿宋" w:eastAsia="仿宋" w:cs="仿宋"/>
          <w:sz w:val="32"/>
          <w:szCs w:val="32"/>
          <w:lang w:val="en-US" w:eastAsia="zh-CN"/>
        </w:rPr>
        <w:t>234</w:t>
      </w:r>
      <w:r>
        <w:rPr>
          <w:rFonts w:hint="eastAsia" w:ascii="仿宋" w:hAnsi="仿宋" w:eastAsia="仿宋" w:cs="仿宋"/>
          <w:sz w:val="32"/>
          <w:szCs w:val="32"/>
          <w:lang w:eastAsia="zh-CN"/>
        </w:rPr>
        <w:t>篇次，全年出版《广东民革》杂志4期。举办全省新党员培训及处级干部培训班合计2场</w:t>
      </w:r>
      <w:r>
        <w:rPr>
          <w:rFonts w:hint="eastAsia" w:ascii="仿宋" w:hAnsi="仿宋" w:eastAsia="仿宋" w:cs="仿宋"/>
          <w:sz w:val="32"/>
          <w:szCs w:val="32"/>
          <w:lang w:val="en-US" w:eastAsia="zh-CN"/>
        </w:rPr>
        <w:t>74</w:t>
      </w:r>
      <w:r>
        <w:rPr>
          <w:rFonts w:hint="eastAsia" w:ascii="仿宋" w:hAnsi="仿宋" w:eastAsia="仿宋" w:cs="仿宋"/>
          <w:sz w:val="32"/>
          <w:szCs w:val="32"/>
          <w:lang w:eastAsia="zh-CN"/>
        </w:rPr>
        <w:t>人次，年度骨干培训计划完成率1</w:t>
      </w:r>
      <w:r>
        <w:rPr>
          <w:rFonts w:hint="eastAsia" w:ascii="仿宋" w:hAnsi="仿宋" w:eastAsia="仿宋" w:cs="仿宋"/>
          <w:sz w:val="32"/>
          <w:szCs w:val="32"/>
          <w:lang w:val="en-US" w:eastAsia="zh-CN"/>
        </w:rPr>
        <w:t>00</w:t>
      </w:r>
      <w:r>
        <w:rPr>
          <w:rFonts w:hint="eastAsia" w:ascii="仿宋" w:hAnsi="仿宋" w:eastAsia="仿宋" w:cs="仿宋"/>
          <w:sz w:val="32"/>
          <w:szCs w:val="32"/>
          <w:lang w:eastAsia="zh-CN"/>
        </w:rPr>
        <w:t>%，受到党员全体好评。基本完成原定绩效目标。</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eastAsia="zh-CN"/>
        </w:rPr>
      </w:pPr>
      <w:r>
        <w:rPr>
          <w:rFonts w:hint="eastAsia" w:ascii="华文楷体" w:hAnsi="华文楷体" w:eastAsia="华文楷体" w:cs="华文楷体"/>
          <w:sz w:val="32"/>
          <w:szCs w:val="32"/>
        </w:rPr>
        <w:t>（二）</w:t>
      </w:r>
      <w:r>
        <w:rPr>
          <w:rFonts w:hint="eastAsia" w:ascii="华文楷体" w:hAnsi="华文楷体" w:eastAsia="华文楷体" w:cs="华文楷体"/>
          <w:sz w:val="32"/>
          <w:szCs w:val="32"/>
          <w:lang w:val="en-US" w:eastAsia="zh-CN"/>
        </w:rPr>
        <w:t>履职效能</w:t>
      </w:r>
      <w:r>
        <w:rPr>
          <w:rFonts w:hint="eastAsia" w:ascii="华文楷体" w:hAnsi="华文楷体" w:eastAsia="华文楷体" w:cs="华文楷体"/>
          <w:sz w:val="32"/>
          <w:szCs w:val="32"/>
          <w:lang w:eastAsia="zh-CN"/>
        </w:rPr>
        <w:t>分析</w:t>
      </w:r>
    </w:p>
    <w:p>
      <w:pPr>
        <w:widowControl/>
        <w:spacing w:before="240" w:after="240"/>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2025年省委会在民革中央和中共省委的领导下，在中共省委统战部的指导下，团结带领全省各级组织和党员，</w:t>
      </w:r>
      <w:r>
        <w:rPr>
          <w:rFonts w:hint="eastAsia" w:ascii="FangSong_GB2312" w:hAnsi="FangSong_GB2312" w:eastAsia="FangSong_GB2312" w:cs="FangSong_GB2312"/>
          <w:b w:val="0"/>
          <w:bCs w:val="0"/>
          <w:color w:val="auto"/>
          <w:kern w:val="0"/>
          <w:sz w:val="32"/>
          <w:szCs w:val="32"/>
          <w:highlight w:val="none"/>
        </w:rPr>
        <w:t>省委会坚持以习近平新时代中国特色社会主义思想为指导，全面贯彻落实中共二十大和二十届历次全会精神，深入学习贯彻习近平总书记视察广东和出席第十五届全国运动会开幕式重要讲话重要指示精神，认真学习贯彻民革十四大和中共广东省委十三届六次、七次、八次全会精神，深入开展“学规定、强作风、树形象”主题教育，紧扣广东省委省政府重点工作，以“保持定力、提高能力、增强动力、充满活力”为目标，坚持“五个奋发有为”推动自身建设和参政履职各方面不断取得新成就。</w:t>
      </w:r>
      <w:r>
        <w:rPr>
          <w:rFonts w:hint="eastAsia" w:ascii="FangSong_GB2312" w:hAnsi="FangSong_GB2312" w:eastAsia="FangSong_GB2312" w:cs="FangSong_GB2312"/>
          <w:b w:val="0"/>
          <w:bCs w:val="0"/>
          <w:color w:val="auto"/>
          <w:kern w:val="0"/>
          <w:sz w:val="32"/>
          <w:szCs w:val="32"/>
          <w:highlight w:val="none"/>
          <w:lang w:val="en-US" w:eastAsia="zh-CN"/>
        </w:rPr>
        <w:t>具体</w:t>
      </w:r>
      <w:r>
        <w:rPr>
          <w:rFonts w:hint="eastAsia" w:ascii="仿宋" w:hAnsi="仿宋" w:eastAsia="仿宋" w:cs="仿宋"/>
          <w:sz w:val="32"/>
          <w:szCs w:val="32"/>
          <w:lang w:val="en-US" w:eastAsia="zh-CN"/>
        </w:rPr>
        <w:t>取得成效如下：</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val="en-US" w:eastAsia="zh-CN"/>
        </w:rPr>
        <w:t>1.</w:t>
      </w:r>
      <w:r>
        <w:rPr>
          <w:rFonts w:hint="eastAsia" w:ascii="仿宋_GB2312" w:hAnsi="仿宋" w:eastAsia="仿宋_GB2312"/>
          <w:b w:val="0"/>
          <w:bCs w:val="0"/>
          <w:color w:val="auto"/>
          <w:sz w:val="32"/>
          <w:szCs w:val="32"/>
          <w:highlight w:val="none"/>
          <w:lang w:eastAsia="zh-CN"/>
        </w:rPr>
        <w:t>奋发有为强学习、抓作风，政治方向坚守初心</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val="en-US" w:eastAsia="zh-CN"/>
        </w:rPr>
        <w:t>(1)</w:t>
      </w:r>
      <w:r>
        <w:rPr>
          <w:rFonts w:hint="eastAsia" w:ascii="仿宋_GB2312" w:hAnsi="仿宋" w:eastAsia="仿宋_GB2312"/>
          <w:b w:val="0"/>
          <w:bCs w:val="0"/>
          <w:color w:val="auto"/>
          <w:sz w:val="32"/>
          <w:szCs w:val="32"/>
          <w:highlight w:val="none"/>
          <w:lang w:eastAsia="zh-CN"/>
        </w:rPr>
        <w:t>紧扣理论学习，不断强化政治引领。始终坚持以习近平新时代中国特色社会主义思想为指导，把学习宣传贯彻中共二十届四中全会精神作为当前和今后一个时期的重大政治任务。坚持提高政治能力，组织6次理论学习中心组集体学习，第一时间跟进学习习近平总书记重要讲话重要指示精神，构建领导班子带头学、常委委员系统学、机关干部主动学的良好格局。召开全省宣传思想工作会议，带领各级组织坚持从政治上讲大局、谋发展、办实事，为广东民革各项事业发展筑牢思想政治基础。</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val="en-US" w:eastAsia="zh-CN"/>
        </w:rPr>
        <w:t>(2)</w:t>
      </w:r>
      <w:r>
        <w:rPr>
          <w:rFonts w:hint="eastAsia" w:ascii="仿宋_GB2312" w:hAnsi="仿宋" w:eastAsia="仿宋_GB2312"/>
          <w:b w:val="0"/>
          <w:bCs w:val="0"/>
          <w:color w:val="auto"/>
          <w:sz w:val="32"/>
          <w:szCs w:val="32"/>
          <w:highlight w:val="none"/>
          <w:lang w:eastAsia="zh-CN"/>
        </w:rPr>
        <w:t>紧扣主题教育，不断加强作风建设。高标准部署主题教育，第一时间召开“学规定、强作风、树形象”主题教育部署会，成立领导小组，印发工作方案，召开推进会、经验交流会、辅导报告会，组织省市主委主题教育活动，把学习教育贯穿参政履职、组织建设全过程，推动作风建设常态长效。举办首场中山大讲堂，邀请民革中央原副主席张伯军作主题报告，推动理论学习入脑入心。高效能开展警示教育，出台《民革广东省委会贯彻落实中共中央八项规定精神实施细则》，举办专题辅导报告会、廉政警示教育培训班，筑牢全省民革干部拒腐防变思想防线。</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val="en-US" w:eastAsia="zh-CN"/>
        </w:rPr>
        <w:t>(3)</w:t>
      </w:r>
      <w:r>
        <w:rPr>
          <w:rFonts w:hint="eastAsia" w:ascii="仿宋_GB2312" w:hAnsi="仿宋" w:eastAsia="仿宋_GB2312"/>
          <w:b w:val="0"/>
          <w:bCs w:val="0"/>
          <w:color w:val="auto"/>
          <w:sz w:val="32"/>
          <w:szCs w:val="32"/>
          <w:highlight w:val="none"/>
          <w:lang w:eastAsia="zh-CN"/>
        </w:rPr>
        <w:t>紧扣七秩节点，不断凝聚思想合力。围绕省委会成立70周年主办高规格、重分量“十个一”系列活动。隆重召开庆祝大会，郑建邦主席亲自出席并对广东民革发展成绩给予高度评价、寄予殷切希望。制作纪念画册、“AI电子相册”和AI数字人讲述历史视频，举办“丹青绘史映初心 彩笔生花铸华章”书画展、“薪火相传 大道同行”文艺汇演，围绕广东民革历史与在粤港澳奋斗的民革前辈举办团结读书会，立体展示广东民革70年与党同心、风雨同舟的光辉历程。</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val="en-US" w:eastAsia="zh-CN"/>
        </w:rPr>
        <w:t>(4)</w:t>
      </w:r>
      <w:r>
        <w:rPr>
          <w:rFonts w:hint="eastAsia" w:ascii="仿宋_GB2312" w:hAnsi="仿宋" w:eastAsia="仿宋_GB2312"/>
          <w:b w:val="0"/>
          <w:bCs w:val="0"/>
          <w:color w:val="auto"/>
          <w:sz w:val="32"/>
          <w:szCs w:val="32"/>
          <w:highlight w:val="none"/>
          <w:lang w:eastAsia="zh-CN"/>
        </w:rPr>
        <w:t>紧扣“四位一体”，不断推进建设实效。民革党员之家规范化、数字化建设走在前列，创新出台党员之家管理暂行办法，广东民革数字党员之家获郑建邦主席高度评价，《团结报》头版头条多次报道，全年接待四川、安徽、重庆、青海、吉林等民革省级组织主委及省内外参观交流团队50多批次，成为全国数字党员之家建设的一面旗帜；评选第四批广东优秀民革党员之家26个，全省建成党员之家264家，位列全国第一。积极组织教育基地认定，命名第二批广东民革教育基地，现有6个民革党史（党员）教育基地、1个民革孙中山研究基地、20个广东民革教育基地。充分激发基层组织活力，评选第四批25个省级示范支部。广泛宣传党员先进事迹，戈燕红获评“全国劳动模范”、朱建波获评“全国先进工作者”、许卫获评“全国三八红旗手”，占全国民革获国家级表彰人数近2成；在省委会成立70周年庆祝大会上表彰361个杰出贡献集体和个人，充分发挥模范引领作用。</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val="en-US" w:eastAsia="zh-CN"/>
        </w:rPr>
        <w:t>(5)</w:t>
      </w:r>
      <w:r>
        <w:rPr>
          <w:rFonts w:hint="eastAsia" w:ascii="仿宋_GB2312" w:hAnsi="仿宋" w:eastAsia="仿宋_GB2312"/>
          <w:b w:val="0"/>
          <w:bCs w:val="0"/>
          <w:color w:val="auto"/>
          <w:sz w:val="32"/>
          <w:szCs w:val="32"/>
          <w:highlight w:val="none"/>
          <w:lang w:eastAsia="zh-CN"/>
        </w:rPr>
        <w:t>紧扣宣传工作，不断推出精品成果。《广东民革》全年出版4期，网站全年更新各类信息1000余条，向民革中央网站报送信息100余篇，广东民革微信公众号推送文章250余篇、阅读量超6万次，团结报社各大平台刊载广东民革稿件300多篇，省委会获2025年度民革报刊工作先进集体重要贡献奖，11个市委会及基层组织获表彰。协助民革中央举办孙中山与《实业计划》学术研讨会，牵头举办孙中山先生逝世100周年纪念仪式，省委会孙中山研究学会入选孙中山宋庆龄纪念地联席会议成员单位，10余篇理论文章被《团结报》《团结》杂志等权威刊物采录，向省政协报送2项理论研究课题成果。选送数十件作品参加第四届“风雨同舟”民革全国书画作品展、民革十省区书画作品全国巡展等；新建书画院创作基地4家，现全省共16家；6件作品入选民革中央纪念抗战胜利80周年主题作品展；支持东莞市残健共融公益音乐会等3场大型文艺活动，奏响多元共奏的动人和声。</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val="en-US" w:eastAsia="zh-CN"/>
        </w:rPr>
        <w:t>2.</w:t>
      </w:r>
      <w:r>
        <w:rPr>
          <w:rFonts w:hint="eastAsia" w:ascii="仿宋_GB2312" w:hAnsi="仿宋" w:eastAsia="仿宋_GB2312"/>
          <w:b w:val="0"/>
          <w:bCs w:val="0"/>
          <w:color w:val="auto"/>
          <w:sz w:val="32"/>
          <w:szCs w:val="32"/>
          <w:highlight w:val="none"/>
          <w:lang w:eastAsia="zh-CN"/>
        </w:rPr>
        <w:t>奋发有为谋交接、优布局，组织发展砥砺恒心</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1</w:t>
      </w:r>
      <w:r>
        <w:rPr>
          <w:rFonts w:hint="eastAsia" w:ascii="仿宋_GB2312" w:hAnsi="仿宋" w:eastAsia="仿宋_GB2312"/>
          <w:b w:val="0"/>
          <w:bCs w:val="0"/>
          <w:color w:val="auto"/>
          <w:sz w:val="32"/>
          <w:szCs w:val="32"/>
          <w:highlight w:val="none"/>
          <w:lang w:eastAsia="zh-CN"/>
        </w:rPr>
        <w:t>）抓好关键少数，班子建设更加有力。领导班子始终牢固树立重团结意识，不断完善主要领导管全面、抓大事、谋全局，班子成员分工明确、互相补台的履职机制。坚持认真贯彻民主集中制原则，全年召开常委会议4次、主委会议23次，召开省委会领导班子民主生活会、领导班子及成员述职和民主评议，着力建设决策科学、团结奉献、坚强有力的领导集体。</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2</w:t>
      </w:r>
      <w:r>
        <w:rPr>
          <w:rFonts w:hint="eastAsia" w:ascii="仿宋_GB2312" w:hAnsi="仿宋" w:eastAsia="仿宋_GB2312"/>
          <w:b w:val="0"/>
          <w:bCs w:val="0"/>
          <w:color w:val="auto"/>
          <w:sz w:val="32"/>
          <w:szCs w:val="32"/>
          <w:highlight w:val="none"/>
          <w:lang w:eastAsia="zh-CN"/>
        </w:rPr>
        <w:t>）抓好提质增效，党员队伍更加优化。坚持质量优先，把政治标准放在首位，积极稳妥发展新党员450名，全省党员总数10387人。发展高层次人才5人，超额完成民革中央赋予任务。着力吸收培养储备推荐一批政治坚定、代表性强、品行良好、热爱多党合作事业和民革事业干部人才，全年1人晋升副厅实职、11人晋升正处实职、17人晋升副处实职，支持6名党员担任民革中央专委会职务。推荐110余名党员参加各级各类培训，不断提升骨干党员综合素养。</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3</w:t>
      </w:r>
      <w:r>
        <w:rPr>
          <w:rFonts w:hint="eastAsia" w:ascii="仿宋_GB2312" w:hAnsi="仿宋" w:eastAsia="仿宋_GB2312"/>
          <w:b w:val="0"/>
          <w:bCs w:val="0"/>
          <w:color w:val="auto"/>
          <w:sz w:val="32"/>
          <w:szCs w:val="32"/>
          <w:highlight w:val="none"/>
          <w:lang w:eastAsia="zh-CN"/>
        </w:rPr>
        <w:t>）抓好换届布局，结构体系更加科学。制定出台2026年换届工作文件，省委会主要领导带队赴各市开展组织调研20余次，与中共地方市委主要领导充分沟通协商，指导广州、深圳等9个市级组织开展届中调整，推动佛山、珠海等20个市级组织做好换届筹备工作，为2026年市级组织换届及民革组织长远发展打下坚实基础。省直六总支、八总支换届调整为祖统总支部、经济和信息总支部，新成立省直属广州中医药大学支部，推动省直属南油支部转隶深圳市委会，省直属基层组织布局进一步优化。</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4</w:t>
      </w:r>
      <w:r>
        <w:rPr>
          <w:rFonts w:hint="eastAsia" w:ascii="仿宋_GB2312" w:hAnsi="仿宋" w:eastAsia="仿宋_GB2312"/>
          <w:b w:val="0"/>
          <w:bCs w:val="0"/>
          <w:color w:val="auto"/>
          <w:sz w:val="32"/>
          <w:szCs w:val="32"/>
          <w:highlight w:val="none"/>
          <w:lang w:eastAsia="zh-CN"/>
        </w:rPr>
        <w:t xml:space="preserve">）抓好内部监督，纪律作风更加严实。开展内部监督工作专项调研，组织参加民革中央全国内部监督工作会议、驻部纪检监察组举办的纪检监察负责人联席会议和2025年省市民主党派内监委干部监督执纪业务能力提升培训班，探索民主党派内部监督与外部监督的有效衔接路径。根据民革章程和《民革纪律处分办法（试行）》，批准对7名党员进行纪律处分。 </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5</w:t>
      </w:r>
      <w:r>
        <w:rPr>
          <w:rFonts w:hint="eastAsia" w:ascii="仿宋_GB2312" w:hAnsi="仿宋" w:eastAsia="仿宋_GB2312"/>
          <w:b w:val="0"/>
          <w:bCs w:val="0"/>
          <w:color w:val="auto"/>
          <w:sz w:val="32"/>
          <w:szCs w:val="32"/>
          <w:highlight w:val="none"/>
          <w:lang w:eastAsia="zh-CN"/>
        </w:rPr>
        <w:t>）抓好机关建设，服务保障更加高效。常态化开展机关政治学习，依托“广东民革书屋”深化“书香民革、书香机关”建设，完善OA办公系统，搭建智慧广东民革展示系统，切实提高机关工作的制度化、规范化、数字化水平。全年组织召开主委办公会议、机关办公会议30余次，不断提高机关工作的协作水平。在广州、深圳、湛江、茂名、中山、肇庆、惠州、梅州等市级组织有力支持下，全年接待民革中央副部级以上领导13批次24人次及民革省级组织主委5批次带队莅粤调研，成功举办省委会成立70周年系列庆祝活动、“广东统一战线知情明政大讲堂”等大型活动，全年组织召开各类会议超过90场。</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val="en-US" w:eastAsia="zh-CN"/>
        </w:rPr>
        <w:t>3</w:t>
      </w:r>
      <w:r>
        <w:rPr>
          <w:rFonts w:hint="eastAsia" w:ascii="仿宋_GB2312" w:hAnsi="仿宋" w:eastAsia="仿宋_GB2312"/>
          <w:b w:val="0"/>
          <w:bCs w:val="0"/>
          <w:color w:val="auto"/>
          <w:sz w:val="32"/>
          <w:szCs w:val="32"/>
          <w:highlight w:val="none"/>
          <w:lang w:eastAsia="zh-CN"/>
        </w:rPr>
        <w:t>、奋发有为提能力、献良策，参政履职紧扣中心</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1</w:t>
      </w:r>
      <w:r>
        <w:rPr>
          <w:rFonts w:hint="eastAsia" w:ascii="仿宋_GB2312" w:hAnsi="仿宋" w:eastAsia="仿宋_GB2312"/>
          <w:b w:val="0"/>
          <w:bCs w:val="0"/>
          <w:color w:val="auto"/>
          <w:sz w:val="32"/>
          <w:szCs w:val="32"/>
          <w:highlight w:val="none"/>
          <w:lang w:eastAsia="zh-CN"/>
        </w:rPr>
        <w:t>）聚焦察实情，政党协商持续发力。省委会领导参加中共省委、省政府、省政协、中共省委统战部召开的暑期座谈会、专题协商会、党外人士座谈会、书记省长督办提案座谈会等高层协商座谈会议10余次，聚焦“十五五”规划编制、“百千万工程”、粤港澳大湾区、现代化产业体系建设、健康中国建设等提出一系列建议，为中共党委、政府科学决策、有效施策提供重要参考。</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2</w:t>
      </w:r>
      <w:r>
        <w:rPr>
          <w:rFonts w:hint="eastAsia" w:ascii="仿宋_GB2312" w:hAnsi="仿宋" w:eastAsia="仿宋_GB2312"/>
          <w:b w:val="0"/>
          <w:bCs w:val="0"/>
          <w:color w:val="auto"/>
          <w:sz w:val="32"/>
          <w:szCs w:val="32"/>
          <w:highlight w:val="none"/>
          <w:lang w:eastAsia="zh-CN"/>
        </w:rPr>
        <w:t>）聚焦下实功，履职平台持续创新。充分发挥近年新发展高层次人才的智力优势，创立领导班子成员亲自出任院长的广东民革大健康发展、“四链”融合发展、人工智能发展等三个研究院，与高层协商专家委员会、专委会形成特色鲜明、互为补充的党内外智库。借鉴民革中央经验创建常设性参政议政工作平台“中山议政会”，2025年共举办3场高水平专题会议，围绕助力“十五五”规划编制等重点领域开展高质量研讨，进一步提升参政议政效能。高水平承办2025能源绿色发展大会，郑建邦主席出席并讲话，多位院士及国内外知名专家学者作主旨演讲。健全委员选用、考核、激励和退出机制，充实专委会力量，9个专委会共增补委员（副主任）97名。</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3</w:t>
      </w:r>
      <w:r>
        <w:rPr>
          <w:rFonts w:hint="eastAsia" w:ascii="仿宋_GB2312" w:hAnsi="仿宋" w:eastAsia="仿宋_GB2312"/>
          <w:b w:val="0"/>
          <w:bCs w:val="0"/>
          <w:color w:val="auto"/>
          <w:sz w:val="32"/>
          <w:szCs w:val="32"/>
          <w:highlight w:val="none"/>
          <w:lang w:eastAsia="zh-CN"/>
        </w:rPr>
        <w:t>）聚焦求实效，纵横联动持续加强。落实“一把手工程”，省委会领导率队深入省内外调研近50次，高质量完成17件重点课题调研工作。注重上接天线，联动参与民革中央多项重大专题调研工作，其中“发挥消费基础性作用，促进经济高质量发展”“促进低空经济高质量发展”调研报告获中共中央领导批示；领导班子成员带头撰写调研报告，其中“进一步优化税收优惠政策 鼓励创投资本‘投早投小投硬科技’”、“完善破产法律制度 激发市场主体活力”等报告获中共中央领导批示；《推进能源消费革命 增强绿色转型发展动能》素材被民革中央采用为全国政协大会发言。注重横向协同，与省民建围绕“以科技金融创新为引擎，驱动广东科技型企业跃升与产业生态蝶变”形成省各民主党派、无党派人士联合调研分报告；省委会主要领导带队拜会自然资源部、省“百千万工程”指挥部办公室、省工商联及广东省湖北商会、江西商会等单位，强化与政府部门、研究机构、行业协会的合作联系。</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4</w:t>
      </w:r>
      <w:r>
        <w:rPr>
          <w:rFonts w:hint="eastAsia" w:ascii="仿宋_GB2312" w:hAnsi="仿宋" w:eastAsia="仿宋_GB2312"/>
          <w:b w:val="0"/>
          <w:bCs w:val="0"/>
          <w:color w:val="auto"/>
          <w:sz w:val="32"/>
          <w:szCs w:val="32"/>
          <w:highlight w:val="none"/>
          <w:lang w:eastAsia="zh-CN"/>
        </w:rPr>
        <w:t>）聚焦出实绩，建言成效持续转化。政协提案成绩突出，在2025年初召开的省政协十三届三次会议上，4件集体提案和3件个人提案被评为2024年优秀提案，1名党员被评为2024年履职优秀委员；提交49件集体提案，6件被列为重点督办提案，连续第6年实现中共省委书记、省长、省政协主席会议重点督办提案“大满贯”。信息工作成效显著，《关于打破欧美生物医学数据霸权，加快构建自主可控科研软件生态体系》等“直通车”信息获中共省委、省政府领导批示；向民革中央、省政协、中共省委统战部报送信息120余篇，被民革中央采用32篇、全国政协采用12篇；省委会荣获民革中央2024-2025年度反映社情民意信息工作先进集体。持续在特色领域发力，围绕盐碱地综合治理持续开展调研；关注司法科技生态体系建设，助推全国法院人工智能司法应用联合创新（深圳）基地启动。</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val="en-US" w:eastAsia="zh-CN"/>
        </w:rPr>
        <w:t>4</w:t>
      </w:r>
      <w:r>
        <w:rPr>
          <w:rFonts w:hint="eastAsia" w:ascii="仿宋_GB2312" w:hAnsi="仿宋" w:eastAsia="仿宋_GB2312"/>
          <w:b w:val="0"/>
          <w:bCs w:val="0"/>
          <w:color w:val="auto"/>
          <w:sz w:val="32"/>
          <w:szCs w:val="32"/>
          <w:highlight w:val="none"/>
          <w:lang w:eastAsia="zh-CN"/>
        </w:rPr>
        <w:t>、奋发有为讲奉献、惠民生，社会服务温暖人心</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1</w:t>
      </w:r>
      <w:r>
        <w:rPr>
          <w:rFonts w:hint="eastAsia" w:ascii="仿宋_GB2312" w:hAnsi="仿宋" w:eastAsia="仿宋_GB2312"/>
          <w:b w:val="0"/>
          <w:bCs w:val="0"/>
          <w:color w:val="auto"/>
          <w:sz w:val="32"/>
          <w:szCs w:val="32"/>
          <w:highlight w:val="none"/>
          <w:lang w:eastAsia="zh-CN"/>
        </w:rPr>
        <w:t>）坚持求新求实，民主监督谱写新局面。圆满收官长江生态环境保护民主监督，坚持问题导向，秉持精准、专业、科学理念，赴湖北恩施、宜昌积极开展对口民主监督工作，撰写五年专项民主监督总调研报告，总结记录实践历程和经验成果。在工作中遵循“寓监督于保护之中，寓保护于监督之中”的“双寓”工作法，充分整合民革党内科技资源，助力长江生态环境保护装上“科技心脏”，协调珠海云洲智能公司为宜昌市配备数艘环保无人船开展环境监测和应急处理，为守护一江清水向东流贡献了民革力量，民革中央将其作为长江生态环境保护民主监督工作典型案例向中共中央统战部报送。稳步开展高质量建设制造强省民主监督，省委会领导分赴广州、湛江、云浮实地调研，形成高质量调研成果，其中部分成果形成“直通车”信息报送中共省委统战部，为全省高质量发展大局贡献民革智慧。</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2</w:t>
      </w:r>
      <w:r>
        <w:rPr>
          <w:rFonts w:hint="eastAsia" w:ascii="仿宋_GB2312" w:hAnsi="仿宋" w:eastAsia="仿宋_GB2312"/>
          <w:b w:val="0"/>
          <w:bCs w:val="0"/>
          <w:color w:val="auto"/>
          <w:sz w:val="32"/>
          <w:szCs w:val="32"/>
          <w:highlight w:val="none"/>
          <w:lang w:eastAsia="zh-CN"/>
        </w:rPr>
        <w:t>）坚持守正创新，社会服务再创新品牌。深入贯彻落实中共中央统战部和民革中央关于“地域+领域”组团式帮扶工作部署，省委会主要领导亲自谋划，联合广东省宋庆龄基金会首创“大健康·湾区行”公益大会品牌，郑建邦主席亲自出席大会并讲话，钟南山院士视频致辞，多位院士专家及海峡两岸企业家聚焦“健康饮食”“再生医疗”等重点领域作20多场主题报告，新华社等近20家主流媒体聚焦报道，获得超千万浏览点击量，并通过“大健康·湾区行”活动在全国民革省级组织中首创覆盖15个省区53家党员企业的优质健康产品展，促进产业资源跨区域精准对接。</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3</w:t>
      </w:r>
      <w:r>
        <w:rPr>
          <w:rFonts w:hint="eastAsia" w:ascii="仿宋_GB2312" w:hAnsi="仿宋" w:eastAsia="仿宋_GB2312"/>
          <w:b w:val="0"/>
          <w:bCs w:val="0"/>
          <w:color w:val="auto"/>
          <w:sz w:val="32"/>
          <w:szCs w:val="32"/>
          <w:highlight w:val="none"/>
          <w:lang w:eastAsia="zh-CN"/>
        </w:rPr>
        <w:t>）坚持汇聚合力，帮扶纳雍再结新硕果。省委会主要领导带队赴毕节开展专题调研和帮扶活动，领导班子成员挂职毕节市副市长，打出帮扶“组合拳”。医疗帮扶惠民生，争取中科学院院士建立广州－毕节“中心监控—居家自动化腹膜透析治疗体系”，推动建立以广州妇女儿童医疗中心为主体、覆盖毕节9个区县级妇幼保健院的“1+1+N”医疗帮扶协作模式，协调推动广州市第八人民医院支持毕节、纳雍开展肝病重点专科建设，民革中山大学基层委员会在毕节市挂牌成立医疗专家工作站，构建“诊疗+培训”帮扶体系。济困帮扶暖人心，开展“博爱牵手·乡居电器焕新行动”、慰问活动，向新房乡精准送达价值10万元的生活电器和助学金，同时积极发动党员企业和相关单位参与消费帮扶，全年协助销售纳雍农产品近800万元，为当地农户增收提供有力支撑。</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4</w:t>
      </w:r>
      <w:r>
        <w:rPr>
          <w:rFonts w:hint="eastAsia" w:ascii="仿宋_GB2312" w:hAnsi="仿宋" w:eastAsia="仿宋_GB2312"/>
          <w:b w:val="0"/>
          <w:bCs w:val="0"/>
          <w:color w:val="auto"/>
          <w:sz w:val="32"/>
          <w:szCs w:val="32"/>
          <w:highlight w:val="none"/>
          <w:lang w:eastAsia="zh-CN"/>
        </w:rPr>
        <w:t>）坚持服务中心，助力“百千万工程”再增新成绩。在全省范围引入产业帮扶项目863项，意向投资209.5亿元，已落地109.4亿元（其中党员企业广东都市丽人实业有限公司意向投资200亿元，已落地100亿元）。赴广东茂名、清远、云浮开展慰问活动，捐建“博爱教室”“博爱音乐室”“博爱书屋”，邀请专家党员主讲云浮市“同心大讲堂”。联合领航创智专项基金开展“博爱牵手·同心助学”活动，向阳江等10市53所基层小学捐赠总价值超360万元的“人工智能编程教室”“科创无人机教室”。联动司法、科技、教育部门，创新探索“书画+普法”“科普+普法”“非遗+普法”模式，开展科普进校园、科技下基层、税法进商户等活动18场，覆盖群众6000余人次。在云浮挂牌成立“民革中山大学基层委员会名医工作室”，开展针对性培训、义诊，惠及600余人。全省民革各级组织种植同心林18亩、1095棵，有力助推绿美广东生态建设。</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5</w:t>
      </w:r>
      <w:r>
        <w:rPr>
          <w:rFonts w:hint="eastAsia" w:ascii="仿宋_GB2312" w:hAnsi="仿宋" w:eastAsia="仿宋_GB2312"/>
          <w:b w:val="0"/>
          <w:bCs w:val="0"/>
          <w:color w:val="auto"/>
          <w:sz w:val="32"/>
          <w:szCs w:val="32"/>
          <w:highlight w:val="none"/>
          <w:lang w:eastAsia="zh-CN"/>
        </w:rPr>
        <w:t>）坚持担当贡献，助力地方经济再添新动能。民革广东省企业家联谊会组团赴河南、广西、贵州等地调研考察，开展地市走访系列活动。在“旅居云南”政企恳谈推进会暨2025年民革党员企业家云南行上协助促成深圳能源集团、粤旺农业集团有限公司达成13.4亿元签约；联合省宋庆龄基金会，共同为省宋庆龄基金会筹集捐款2900多万元，其中1600多万元为省民革党员捐赠，充分展现党员企业家奉献社会、融入发展的担当作为。</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val="en-US" w:eastAsia="zh-CN"/>
        </w:rPr>
        <w:t>5</w:t>
      </w:r>
      <w:r>
        <w:rPr>
          <w:rFonts w:hint="eastAsia" w:ascii="仿宋_GB2312" w:hAnsi="仿宋" w:eastAsia="仿宋_GB2312"/>
          <w:b w:val="0"/>
          <w:bCs w:val="0"/>
          <w:color w:val="auto"/>
          <w:sz w:val="32"/>
          <w:szCs w:val="32"/>
          <w:highlight w:val="none"/>
          <w:lang w:eastAsia="zh-CN"/>
        </w:rPr>
        <w:t>、奋发有为弘特色、促交流，反独促统共筑同心</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1</w:t>
      </w:r>
      <w:r>
        <w:rPr>
          <w:rFonts w:hint="eastAsia" w:ascii="仿宋_GB2312" w:hAnsi="仿宋" w:eastAsia="仿宋_GB2312"/>
          <w:b w:val="0"/>
          <w:bCs w:val="0"/>
          <w:color w:val="auto"/>
          <w:sz w:val="32"/>
          <w:szCs w:val="32"/>
          <w:highlight w:val="none"/>
          <w:lang w:eastAsia="zh-CN"/>
        </w:rPr>
        <w:t>）深耕参政议政，实打实献计出力。省委会主要领导向全国政协提交《关于弘扬传承中华文化，促进两岸青年民心相通的提案》，得到国台办协商办理。完成民革中央“以客家文化为纽带，促进两岸融合发展”祖统专项调研课题，深入开展庚子首义历史事件全域调查研究。联系在粤高校、研究院所等涉港澳台方面研究的相关专家，筹建对台智库，全力提升涉台参政议政能力。</w:t>
      </w:r>
    </w:p>
    <w:p>
      <w:pPr>
        <w:pStyle w:val="4"/>
        <w:keepNext w:val="0"/>
        <w:keepLines w:val="0"/>
        <w:widowControl/>
        <w:spacing w:before="299" w:after="299"/>
        <w:rPr>
          <w:rFonts w:hint="eastAsia" w:ascii="仿宋_GB2312" w:hAnsi="仿宋" w:eastAsia="仿宋_GB2312"/>
          <w:b w:val="0"/>
          <w:bCs w:val="0"/>
          <w:color w:val="auto"/>
          <w:sz w:val="32"/>
          <w:szCs w:val="32"/>
          <w:highlight w:val="none"/>
          <w:lang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2</w:t>
      </w:r>
      <w:r>
        <w:rPr>
          <w:rFonts w:hint="eastAsia" w:ascii="仿宋_GB2312" w:hAnsi="仿宋" w:eastAsia="仿宋_GB2312"/>
          <w:b w:val="0"/>
          <w:bCs w:val="0"/>
          <w:color w:val="auto"/>
          <w:sz w:val="32"/>
          <w:szCs w:val="32"/>
          <w:highlight w:val="none"/>
          <w:lang w:eastAsia="zh-CN"/>
        </w:rPr>
        <w:t>）深耕交流交融，面对面凝聚人心。举办“大健康·湾区行”粤台高层次人才面对面活动，搭建粤台高层次人才互学互鉴的坚实桥梁。省委会领导参加广东省纪念台湾光复80周年座谈会、海峡知识产权运营中心启动仪式等高规格涉台活动。作为“爱在岭南”两岸婚姻系列活动主办方之一，参加“爱在岭南”系列活动启动仪式。接待7批次台湾参访团和近50位台港代表人士来访交流。协助有关部门颁发“中国人民抗日战争胜利80周年”纪念章，千方百计筹集资金，不断延续关爱抗战老兵活动品牌。</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_GB2312" w:hAnsi="仿宋" w:eastAsia="仿宋_GB2312"/>
          <w:b w:val="0"/>
          <w:bCs w:val="0"/>
          <w:color w:val="auto"/>
          <w:sz w:val="32"/>
          <w:szCs w:val="32"/>
          <w:highlight w:val="none"/>
          <w:lang w:eastAsia="zh-CN"/>
        </w:rPr>
        <w:t>（</w:t>
      </w:r>
      <w:r>
        <w:rPr>
          <w:rFonts w:hint="eastAsia" w:ascii="仿宋_GB2312" w:hAnsi="仿宋" w:eastAsia="仿宋_GB2312"/>
          <w:b w:val="0"/>
          <w:bCs w:val="0"/>
          <w:color w:val="auto"/>
          <w:sz w:val="32"/>
          <w:szCs w:val="32"/>
          <w:highlight w:val="none"/>
          <w:lang w:val="en-US" w:eastAsia="zh-CN"/>
        </w:rPr>
        <w:t>3</w:t>
      </w:r>
      <w:r>
        <w:rPr>
          <w:rFonts w:hint="eastAsia" w:ascii="仿宋_GB2312" w:hAnsi="仿宋" w:eastAsia="仿宋_GB2312"/>
          <w:b w:val="0"/>
          <w:bCs w:val="0"/>
          <w:color w:val="auto"/>
          <w:sz w:val="32"/>
          <w:szCs w:val="32"/>
          <w:highlight w:val="none"/>
          <w:lang w:eastAsia="zh-CN"/>
        </w:rPr>
        <w:t>）深耕青年群体，手拉手共谋发展。协助民革中央开展第21届台湾高校杰出青年赴大陆参访团广东行，举办第十二届台湾青年岭南行、2025年“新黄埔”粤台港澳青年创新创业主题会议暨研习营，联合举办《李济深的革命生涯和爱国精神》专题讲座。持之以恒推进广东民革台青之家、广东民革台湾青年创新创业基地建设使用，广泛征集1000多个优质实习岗位，为台湾青年在穗学习生活、就业创业提供更多便利和机遇，有力深化两岸融合发展。华灿·携手同行共筑梦想——2025年珠台青年职场实习交流月活动荣获民革中央“省级组织对台交流活动最佳活动”及2025华灿品牌系列活动特色品牌活动表彰，华灿·一日咖啡农活动获得2025华灿品牌系列活动优秀品牌活动表彰。</w:t>
      </w:r>
      <w:r>
        <w:rPr>
          <w:rFonts w:hint="eastAsia" w:ascii="仿宋_GB2312" w:hAnsi="仿宋" w:eastAsia="仿宋_GB2312"/>
          <w:b w:val="0"/>
          <w:bCs w:val="0"/>
          <w:sz w:val="32"/>
          <w:szCs w:val="32"/>
          <w:highlight w:val="yellow"/>
          <w:lang w:eastAsia="zh-CN"/>
        </w:rPr>
        <w:br w:type="textWrapping"/>
      </w:r>
      <w:r>
        <w:rPr>
          <w:rFonts w:hint="eastAsia" w:ascii="华文楷体" w:hAnsi="华文楷体" w:eastAsia="华文楷体" w:cs="华文楷体"/>
          <w:sz w:val="32"/>
          <w:szCs w:val="32"/>
          <w:lang w:val="en-US" w:eastAsia="zh-CN"/>
        </w:rPr>
        <w:t>（三）管理效率分析</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3" w:firstLineChars="200"/>
        <w:jc w:val="left"/>
        <w:textAlignment w:val="auto"/>
        <w:outlineLvl w:val="9"/>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lang w:eastAsia="zh-CN"/>
        </w:rPr>
        <w:t>预算编制情况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eastAsia="zh-CN"/>
        </w:rPr>
      </w:pPr>
      <w:bookmarkStart w:id="0" w:name="PO_part3A2Year1"/>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年本</w:t>
      </w:r>
      <w:r>
        <w:rPr>
          <w:rFonts w:hint="eastAsia" w:ascii="仿宋" w:hAnsi="仿宋" w:eastAsia="仿宋" w:cs="仿宋"/>
          <w:sz w:val="32"/>
          <w:szCs w:val="32"/>
          <w:lang w:eastAsia="zh-CN"/>
        </w:rPr>
        <w:t>部门预算编制情况如下：</w:t>
      </w:r>
      <w:r>
        <w:rPr>
          <w:rFonts w:hint="eastAsia" w:ascii="仿宋" w:hAnsi="仿宋" w:eastAsia="仿宋" w:cs="仿宋"/>
          <w:sz w:val="32"/>
          <w:szCs w:val="32"/>
        </w:rPr>
        <w:t>收入预算</w:t>
      </w:r>
      <w:r>
        <w:rPr>
          <w:rFonts w:ascii="FangSong_GB2312" w:hAnsi="FangSong_GB2312" w:eastAsia="FangSong_GB2312" w:cs="FangSong_GB2312"/>
          <w:b w:val="0"/>
          <w:bCs w:val="0"/>
          <w:kern w:val="0"/>
          <w:sz w:val="32"/>
          <w:szCs w:val="32"/>
        </w:rPr>
        <w:t>2124.56</w:t>
      </w:r>
      <w:r>
        <w:rPr>
          <w:rFonts w:hint="eastAsia" w:ascii="仿宋" w:hAnsi="仿宋" w:eastAsia="仿宋" w:cs="仿宋"/>
          <w:sz w:val="32"/>
          <w:szCs w:val="32"/>
        </w:rPr>
        <w:t>万元，</w:t>
      </w:r>
      <w:bookmarkEnd w:id="0"/>
      <w:r>
        <w:rPr>
          <w:rFonts w:hint="eastAsia" w:ascii="仿宋" w:hAnsi="仿宋" w:eastAsia="仿宋" w:cs="仿宋"/>
          <w:sz w:val="32"/>
          <w:szCs w:val="32"/>
        </w:rPr>
        <w:t>支出预算</w:t>
      </w:r>
      <w:r>
        <w:rPr>
          <w:rFonts w:hint="eastAsia" w:ascii="仿宋" w:hAnsi="仿宋" w:eastAsia="仿宋" w:cs="仿宋"/>
          <w:b w:val="0"/>
          <w:bCs w:val="0"/>
          <w:kern w:val="0"/>
          <w:sz w:val="32"/>
          <w:szCs w:val="32"/>
          <w:highlight w:val="none"/>
        </w:rPr>
        <w:t>2066.44</w:t>
      </w:r>
      <w:r>
        <w:rPr>
          <w:rFonts w:hint="eastAsia" w:ascii="仿宋" w:hAnsi="仿宋" w:eastAsia="仿宋" w:cs="仿宋"/>
          <w:sz w:val="32"/>
          <w:szCs w:val="32"/>
        </w:rPr>
        <w:t>万元</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年支出预算按用途划分，</w:t>
      </w:r>
      <w:r>
        <w:rPr>
          <w:rFonts w:hint="eastAsia" w:ascii="仿宋" w:hAnsi="仿宋" w:eastAsia="仿宋" w:cs="仿宋"/>
          <w:sz w:val="32"/>
          <w:szCs w:val="32"/>
          <w:lang w:eastAsia="zh-CN"/>
        </w:rPr>
        <w:t>其中</w:t>
      </w:r>
      <w:r>
        <w:rPr>
          <w:rFonts w:hint="eastAsia" w:ascii="仿宋" w:hAnsi="仿宋" w:eastAsia="仿宋" w:cs="仿宋"/>
          <w:sz w:val="32"/>
          <w:szCs w:val="32"/>
        </w:rPr>
        <w:t>基本支出预算</w:t>
      </w:r>
      <w:r>
        <w:rPr>
          <w:rFonts w:hint="eastAsia" w:ascii="仿宋" w:hAnsi="仿宋" w:eastAsia="仿宋" w:cs="仿宋"/>
          <w:b w:val="0"/>
          <w:bCs w:val="0"/>
          <w:kern w:val="0"/>
          <w:sz w:val="32"/>
          <w:szCs w:val="32"/>
          <w:highlight w:val="none"/>
        </w:rPr>
        <w:t>1817.89</w:t>
      </w:r>
      <w:r>
        <w:rPr>
          <w:rFonts w:hint="eastAsia" w:ascii="仿宋" w:hAnsi="仿宋" w:eastAsia="仿宋" w:cs="仿宋"/>
          <w:sz w:val="32"/>
          <w:szCs w:val="32"/>
        </w:rPr>
        <w:t>万元，占</w:t>
      </w:r>
      <w:r>
        <w:rPr>
          <w:rFonts w:hint="eastAsia" w:ascii="仿宋" w:hAnsi="仿宋" w:eastAsia="仿宋" w:cs="仿宋"/>
          <w:sz w:val="32"/>
          <w:szCs w:val="32"/>
          <w:lang w:val="en-US" w:eastAsia="zh-CN"/>
        </w:rPr>
        <w:t>89.88</w:t>
      </w:r>
      <w:r>
        <w:rPr>
          <w:rFonts w:hint="eastAsia" w:ascii="仿宋" w:hAnsi="仿宋" w:eastAsia="仿宋" w:cs="仿宋"/>
          <w:sz w:val="32"/>
          <w:szCs w:val="32"/>
        </w:rPr>
        <w:t>%。其中：其中工资福利支出</w:t>
      </w:r>
      <w:r>
        <w:rPr>
          <w:rFonts w:hint="eastAsia" w:ascii="仿宋" w:hAnsi="仿宋" w:eastAsia="仿宋" w:cs="仿宋"/>
          <w:sz w:val="32"/>
          <w:szCs w:val="32"/>
          <w:lang w:val="en-US" w:eastAsia="zh-CN"/>
        </w:rPr>
        <w:t>1412.13</w:t>
      </w:r>
      <w:r>
        <w:rPr>
          <w:rFonts w:hint="eastAsia" w:ascii="仿宋" w:hAnsi="仿宋" w:eastAsia="仿宋" w:cs="仿宋"/>
          <w:sz w:val="32"/>
          <w:szCs w:val="32"/>
        </w:rPr>
        <w:t>万元，对个人和家庭的补助支出</w:t>
      </w:r>
      <w:r>
        <w:rPr>
          <w:rFonts w:hint="eastAsia" w:ascii="仿宋" w:hAnsi="仿宋" w:eastAsia="仿宋" w:cs="仿宋"/>
          <w:sz w:val="32"/>
          <w:szCs w:val="32"/>
          <w:lang w:val="en-US" w:eastAsia="zh-CN"/>
        </w:rPr>
        <w:t>308.11</w:t>
      </w:r>
      <w:r>
        <w:rPr>
          <w:rFonts w:hint="eastAsia" w:ascii="仿宋" w:hAnsi="仿宋" w:eastAsia="仿宋" w:cs="仿宋"/>
          <w:sz w:val="32"/>
          <w:szCs w:val="32"/>
        </w:rPr>
        <w:t>万元，其他商品服务支出</w:t>
      </w:r>
      <w:r>
        <w:rPr>
          <w:rFonts w:hint="eastAsia" w:ascii="仿宋" w:hAnsi="仿宋" w:eastAsia="仿宋" w:cs="仿宋"/>
          <w:sz w:val="32"/>
          <w:szCs w:val="32"/>
          <w:lang w:val="en-US" w:eastAsia="zh-CN"/>
        </w:rPr>
        <w:t>336.19</w:t>
      </w:r>
      <w:r>
        <w:rPr>
          <w:rFonts w:hint="eastAsia" w:ascii="仿宋" w:hAnsi="仿宋" w:eastAsia="仿宋" w:cs="仿宋"/>
          <w:sz w:val="32"/>
          <w:szCs w:val="32"/>
        </w:rPr>
        <w:t>万元，其他资本性支出</w:t>
      </w:r>
      <w:r>
        <w:rPr>
          <w:rFonts w:hint="eastAsia" w:ascii="仿宋" w:hAnsi="仿宋" w:eastAsia="仿宋" w:cs="仿宋"/>
          <w:sz w:val="32"/>
          <w:szCs w:val="32"/>
          <w:lang w:val="en-US" w:eastAsia="zh-CN"/>
        </w:rPr>
        <w:t>10.00</w:t>
      </w:r>
      <w:r>
        <w:rPr>
          <w:rFonts w:hint="eastAsia" w:ascii="仿宋" w:hAnsi="仿宋" w:eastAsia="仿宋" w:cs="仿宋"/>
          <w:sz w:val="32"/>
          <w:szCs w:val="32"/>
        </w:rPr>
        <w:t>元；项目支出预算</w:t>
      </w:r>
      <w:r>
        <w:rPr>
          <w:rFonts w:hint="eastAsia" w:ascii="仿宋" w:hAnsi="仿宋" w:eastAsia="仿宋" w:cs="仿宋"/>
          <w:b w:val="0"/>
          <w:bCs w:val="0"/>
          <w:i w:val="0"/>
          <w:iCs w:val="0"/>
          <w:smallCaps w:val="0"/>
          <w:color w:val="000000"/>
          <w:kern w:val="0"/>
          <w:sz w:val="32"/>
          <w:szCs w:val="32"/>
        </w:rPr>
        <w:t>248.55</w:t>
      </w:r>
      <w:r>
        <w:rPr>
          <w:rFonts w:hint="eastAsia" w:ascii="仿宋" w:hAnsi="仿宋" w:eastAsia="仿宋" w:cs="仿宋"/>
          <w:sz w:val="32"/>
          <w:szCs w:val="32"/>
        </w:rPr>
        <w:t>万元，占</w:t>
      </w:r>
      <w:r>
        <w:rPr>
          <w:rFonts w:hint="eastAsia" w:ascii="仿宋" w:hAnsi="仿宋" w:eastAsia="仿宋" w:cs="仿宋"/>
          <w:sz w:val="32"/>
          <w:szCs w:val="32"/>
          <w:lang w:val="en-US" w:eastAsia="zh-CN"/>
        </w:rPr>
        <w:t>10.12</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年财政拨款预算安排“三公”经费</w:t>
      </w:r>
      <w:r>
        <w:rPr>
          <w:rFonts w:hint="eastAsia" w:ascii="仿宋" w:hAnsi="仿宋" w:eastAsia="仿宋" w:cs="仿宋"/>
          <w:sz w:val="32"/>
          <w:szCs w:val="32"/>
          <w:lang w:val="en-US" w:eastAsia="zh-CN"/>
        </w:rPr>
        <w:t>25.26</w:t>
      </w:r>
      <w:r>
        <w:rPr>
          <w:rFonts w:hint="eastAsia" w:ascii="仿宋" w:hAnsi="仿宋" w:eastAsia="仿宋" w:cs="仿宋"/>
          <w:sz w:val="32"/>
          <w:szCs w:val="32"/>
        </w:rPr>
        <w:t>万元，</w:t>
      </w:r>
      <w:r>
        <w:rPr>
          <w:rFonts w:hint="eastAsia" w:ascii="仿宋" w:hAnsi="仿宋" w:eastAsia="仿宋" w:cs="仿宋"/>
          <w:sz w:val="32"/>
          <w:szCs w:val="32"/>
          <w:lang w:val="en-US" w:eastAsia="zh-CN"/>
        </w:rPr>
        <w:t>其中：</w:t>
      </w:r>
      <w:r>
        <w:rPr>
          <w:rFonts w:hint="eastAsia" w:ascii="仿宋" w:hAnsi="仿宋" w:eastAsia="仿宋" w:cs="仿宋"/>
          <w:sz w:val="32"/>
          <w:szCs w:val="32"/>
        </w:rPr>
        <w:t>因公出国（境）费用为</w:t>
      </w:r>
      <w:r>
        <w:rPr>
          <w:rFonts w:hint="eastAsia" w:ascii="仿宋" w:hAnsi="仿宋" w:eastAsia="仿宋" w:cs="仿宋"/>
          <w:sz w:val="32"/>
          <w:szCs w:val="32"/>
          <w:lang w:val="en-US" w:eastAsia="zh-CN"/>
        </w:rPr>
        <w:t>4.3</w:t>
      </w:r>
      <w:r>
        <w:rPr>
          <w:rFonts w:hint="eastAsia" w:ascii="仿宋" w:hAnsi="仿宋" w:eastAsia="仿宋" w:cs="仿宋"/>
          <w:sz w:val="32"/>
          <w:szCs w:val="32"/>
        </w:rPr>
        <w:t>万元，公务用车购置及运行维护费为</w:t>
      </w:r>
      <w:r>
        <w:rPr>
          <w:rFonts w:hint="eastAsia" w:ascii="仿宋" w:hAnsi="仿宋" w:eastAsia="仿宋" w:cs="仿宋"/>
          <w:sz w:val="32"/>
          <w:szCs w:val="32"/>
          <w:lang w:val="en-US" w:eastAsia="zh-CN"/>
        </w:rPr>
        <w:t>15.00</w:t>
      </w:r>
      <w:r>
        <w:rPr>
          <w:rFonts w:hint="eastAsia" w:ascii="仿宋" w:hAnsi="仿宋" w:eastAsia="仿宋" w:cs="仿宋"/>
          <w:sz w:val="32"/>
          <w:szCs w:val="32"/>
        </w:rPr>
        <w:t>万元，公务接待费为</w:t>
      </w:r>
      <w:r>
        <w:rPr>
          <w:rFonts w:hint="eastAsia" w:ascii="仿宋" w:hAnsi="仿宋" w:eastAsia="仿宋" w:cs="仿宋"/>
          <w:sz w:val="32"/>
          <w:szCs w:val="32"/>
          <w:lang w:val="en-US" w:eastAsia="zh-CN"/>
        </w:rPr>
        <w:t>5.96</w:t>
      </w:r>
      <w:r>
        <w:rPr>
          <w:rFonts w:hint="eastAsia" w:ascii="仿宋" w:hAnsi="仿宋" w:eastAsia="仿宋" w:cs="仿宋"/>
          <w:sz w:val="32"/>
          <w:szCs w:val="32"/>
        </w:rPr>
        <w:t>万元</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3" w:firstLineChars="200"/>
        <w:jc w:val="left"/>
        <w:textAlignment w:val="auto"/>
        <w:outlineLvl w:val="9"/>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lang w:eastAsia="zh-CN"/>
        </w:rPr>
        <w:t>预算执行情况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本部门2025年度总收入</w:t>
      </w:r>
      <w:r>
        <w:rPr>
          <w:rFonts w:hint="eastAsia" w:ascii="仿宋" w:hAnsi="仿宋" w:eastAsia="仿宋" w:cs="仿宋"/>
          <w:b w:val="0"/>
          <w:bCs w:val="0"/>
          <w:kern w:val="0"/>
          <w:sz w:val="32"/>
          <w:szCs w:val="32"/>
          <w:highlight w:val="none"/>
        </w:rPr>
        <w:t>2066.44</w:t>
      </w:r>
      <w:r>
        <w:rPr>
          <w:rFonts w:hint="eastAsia" w:ascii="仿宋" w:hAnsi="仿宋" w:eastAsia="仿宋" w:cs="仿宋"/>
          <w:sz w:val="32"/>
          <w:szCs w:val="32"/>
          <w:lang w:val="en-US" w:eastAsia="zh-CN"/>
        </w:rPr>
        <w:t>万元，与年初预算相比减少58.12万元，减幅为2.74%；总支出2066.44万元，与年初预算相比减少58.12万元，减幅为2.74%。</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年支出按</w:t>
      </w:r>
      <w:r>
        <w:rPr>
          <w:rFonts w:hint="eastAsia" w:ascii="仿宋" w:hAnsi="仿宋" w:eastAsia="仿宋" w:cs="仿宋"/>
          <w:sz w:val="32"/>
          <w:szCs w:val="32"/>
          <w:lang w:eastAsia="zh-CN"/>
        </w:rPr>
        <w:t>支出功能分类划分，其中</w:t>
      </w:r>
      <w:r>
        <w:rPr>
          <w:rFonts w:hint="eastAsia" w:ascii="仿宋" w:hAnsi="仿宋" w:eastAsia="仿宋" w:cs="仿宋"/>
          <w:sz w:val="32"/>
          <w:szCs w:val="32"/>
        </w:rPr>
        <w:t>一般公共服务支出</w:t>
      </w:r>
      <w:r>
        <w:rPr>
          <w:rFonts w:hint="eastAsia" w:ascii="仿宋" w:hAnsi="仿宋" w:eastAsia="仿宋" w:cs="仿宋"/>
          <w:sz w:val="32"/>
          <w:szCs w:val="32"/>
          <w:lang w:val="en-US" w:eastAsia="zh-CN"/>
        </w:rPr>
        <w:t xml:space="preserve"> </w:t>
      </w:r>
      <w:r>
        <w:rPr>
          <w:rFonts w:hint="eastAsia" w:ascii="仿宋" w:hAnsi="仿宋" w:eastAsia="仿宋" w:cs="仿宋"/>
          <w:b w:val="0"/>
          <w:bCs w:val="0"/>
          <w:kern w:val="0"/>
          <w:sz w:val="32"/>
          <w:szCs w:val="32"/>
        </w:rPr>
        <w:t>1473.27</w:t>
      </w:r>
      <w:r>
        <w:rPr>
          <w:rFonts w:hint="eastAsia" w:ascii="仿宋" w:hAnsi="仿宋" w:eastAsia="仿宋" w:cs="仿宋"/>
          <w:sz w:val="32"/>
          <w:szCs w:val="32"/>
          <w:lang w:val="en-US" w:eastAsia="zh-CN"/>
        </w:rPr>
        <w:t>万元，与年初预算相比减少79.87万元；社会保障和就业支出</w:t>
      </w:r>
      <w:r>
        <w:rPr>
          <w:rFonts w:hint="eastAsia" w:ascii="仿宋" w:hAnsi="仿宋" w:eastAsia="仿宋" w:cs="仿宋"/>
          <w:b w:val="0"/>
          <w:bCs w:val="0"/>
          <w:kern w:val="0"/>
          <w:sz w:val="32"/>
          <w:szCs w:val="32"/>
        </w:rPr>
        <w:t>479.36</w:t>
      </w:r>
      <w:r>
        <w:rPr>
          <w:rFonts w:hint="eastAsia" w:ascii="仿宋" w:hAnsi="仿宋" w:eastAsia="仿宋" w:cs="仿宋"/>
          <w:sz w:val="32"/>
          <w:szCs w:val="32"/>
          <w:lang w:val="en-US" w:eastAsia="zh-CN"/>
        </w:rPr>
        <w:t>万元，与年初预算相比减少30.25万元；住房保障支出</w:t>
      </w:r>
      <w:r>
        <w:rPr>
          <w:rFonts w:hint="eastAsia" w:ascii="仿宋" w:hAnsi="仿宋" w:eastAsia="仿宋" w:cs="仿宋"/>
          <w:b w:val="0"/>
          <w:bCs w:val="0"/>
          <w:kern w:val="0"/>
          <w:sz w:val="32"/>
          <w:szCs w:val="32"/>
        </w:rPr>
        <w:t>113.82</w:t>
      </w:r>
      <w:r>
        <w:rPr>
          <w:rFonts w:hint="eastAsia" w:ascii="仿宋" w:hAnsi="仿宋" w:eastAsia="仿宋" w:cs="仿宋"/>
          <w:sz w:val="32"/>
          <w:szCs w:val="32"/>
          <w:lang w:val="en-US" w:eastAsia="zh-CN"/>
        </w:rPr>
        <w:t>万元，与年初预算相比减少8.49万元。减少的主要原因是：</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年基本支出人员工资进行调整，部分津补贴停止发放，人员支出减少，</w:t>
      </w:r>
      <w:r>
        <w:rPr>
          <w:rFonts w:hint="eastAsia" w:ascii="仿宋" w:hAnsi="仿宋" w:eastAsia="仿宋" w:cs="仿宋"/>
          <w:b w:val="0"/>
          <w:bCs w:val="0"/>
          <w:kern w:val="0"/>
          <w:sz w:val="32"/>
          <w:szCs w:val="32"/>
          <w:lang w:eastAsia="zh-CN"/>
        </w:rPr>
        <w:t>根据国家和省工资政策，人员经费正常</w:t>
      </w:r>
      <w:r>
        <w:rPr>
          <w:rFonts w:hint="eastAsia" w:ascii="仿宋" w:hAnsi="仿宋" w:eastAsia="仿宋" w:cs="仿宋"/>
          <w:b w:val="0"/>
          <w:bCs w:val="0"/>
          <w:kern w:val="0"/>
          <w:sz w:val="32"/>
          <w:szCs w:val="32"/>
        </w:rPr>
        <w:t>调整</w:t>
      </w:r>
      <w:r>
        <w:rPr>
          <w:rFonts w:hint="eastAsia" w:ascii="仿宋" w:hAnsi="仿宋" w:eastAsia="仿宋" w:cs="仿宋"/>
          <w:b w:val="0"/>
          <w:bCs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年度“三公”经费财政拨款支出决算为</w:t>
      </w:r>
      <w:r>
        <w:rPr>
          <w:rFonts w:hint="eastAsia" w:ascii="仿宋" w:hAnsi="仿宋" w:eastAsia="仿宋" w:cs="仿宋"/>
          <w:b w:val="0"/>
          <w:bCs w:val="0"/>
          <w:color w:val="auto"/>
          <w:kern w:val="0"/>
          <w:sz w:val="32"/>
          <w:szCs w:val="32"/>
          <w:highlight w:val="none"/>
        </w:rPr>
        <w:t>15.37</w:t>
      </w:r>
      <w:r>
        <w:rPr>
          <w:rFonts w:hint="eastAsia" w:ascii="仿宋" w:hAnsi="仿宋" w:eastAsia="仿宋" w:cs="仿宋"/>
          <w:color w:val="auto"/>
          <w:sz w:val="32"/>
          <w:szCs w:val="32"/>
          <w:highlight w:val="none"/>
        </w:rPr>
        <w:t>万元，完成预算</w:t>
      </w:r>
      <w:r>
        <w:rPr>
          <w:rFonts w:hint="eastAsia" w:ascii="仿宋" w:hAnsi="仿宋" w:eastAsia="仿宋" w:cs="仿宋"/>
          <w:color w:val="auto"/>
          <w:sz w:val="32"/>
          <w:szCs w:val="32"/>
          <w:highlight w:val="none"/>
          <w:lang w:val="en-US" w:eastAsia="zh-CN"/>
        </w:rPr>
        <w:t>25.26</w:t>
      </w:r>
      <w:r>
        <w:rPr>
          <w:rFonts w:hint="eastAsia" w:ascii="仿宋" w:hAnsi="仿宋" w:eastAsia="仿宋" w:cs="仿宋"/>
          <w:color w:val="auto"/>
          <w:sz w:val="32"/>
          <w:szCs w:val="32"/>
          <w:highlight w:val="none"/>
        </w:rPr>
        <w:t>万元的</w:t>
      </w:r>
      <w:r>
        <w:rPr>
          <w:rFonts w:hint="eastAsia" w:ascii="仿宋" w:hAnsi="仿宋" w:eastAsia="仿宋" w:cs="仿宋"/>
          <w:color w:val="auto"/>
          <w:sz w:val="32"/>
          <w:szCs w:val="32"/>
          <w:highlight w:val="none"/>
          <w:lang w:val="en-US" w:eastAsia="zh-CN"/>
        </w:rPr>
        <w:t>60.85</w:t>
      </w:r>
      <w:r>
        <w:rPr>
          <w:rFonts w:hint="eastAsia" w:ascii="仿宋" w:hAnsi="仿宋" w:eastAsia="仿宋" w:cs="仿宋"/>
          <w:color w:val="auto"/>
          <w:sz w:val="32"/>
          <w:szCs w:val="32"/>
          <w:highlight w:val="none"/>
        </w:rPr>
        <w:t>%。其中：因公出国（境）费支出决算为0万元，完成预算4.3万元的0%；公务用车运行</w:t>
      </w:r>
      <w:r>
        <w:rPr>
          <w:rFonts w:hint="eastAsia" w:ascii="仿宋" w:hAnsi="仿宋" w:eastAsia="仿宋" w:cs="仿宋"/>
          <w:color w:val="auto"/>
          <w:sz w:val="32"/>
          <w:szCs w:val="32"/>
          <w:highlight w:val="none"/>
          <w:lang w:eastAsia="zh-CN"/>
        </w:rPr>
        <w:t>维护</w:t>
      </w:r>
      <w:r>
        <w:rPr>
          <w:rFonts w:hint="eastAsia" w:ascii="仿宋" w:hAnsi="仿宋" w:eastAsia="仿宋" w:cs="仿宋"/>
          <w:color w:val="auto"/>
          <w:sz w:val="32"/>
          <w:szCs w:val="32"/>
          <w:highlight w:val="none"/>
        </w:rPr>
        <w:t>费支出决算为</w:t>
      </w:r>
      <w:r>
        <w:rPr>
          <w:rFonts w:hint="eastAsia" w:ascii="仿宋" w:hAnsi="仿宋" w:eastAsia="仿宋" w:cs="仿宋"/>
          <w:color w:val="auto"/>
          <w:sz w:val="32"/>
          <w:szCs w:val="32"/>
          <w:highlight w:val="none"/>
          <w:lang w:val="en-US" w:eastAsia="zh-CN"/>
        </w:rPr>
        <w:t>11.12</w:t>
      </w:r>
      <w:r>
        <w:rPr>
          <w:rFonts w:hint="eastAsia" w:ascii="仿宋" w:hAnsi="仿宋" w:eastAsia="仿宋" w:cs="仿宋"/>
          <w:color w:val="auto"/>
          <w:sz w:val="32"/>
          <w:szCs w:val="32"/>
          <w:highlight w:val="none"/>
        </w:rPr>
        <w:t>万元，完成预算</w:t>
      </w:r>
      <w:r>
        <w:rPr>
          <w:rFonts w:hint="eastAsia" w:ascii="仿宋" w:hAnsi="仿宋" w:eastAsia="仿宋" w:cs="仿宋"/>
          <w:color w:val="auto"/>
          <w:sz w:val="32"/>
          <w:szCs w:val="32"/>
          <w:highlight w:val="none"/>
          <w:lang w:val="en-US" w:eastAsia="zh-CN"/>
        </w:rPr>
        <w:t>15.00</w:t>
      </w:r>
      <w:r>
        <w:rPr>
          <w:rFonts w:hint="eastAsia" w:ascii="仿宋" w:hAnsi="仿宋" w:eastAsia="仿宋" w:cs="仿宋"/>
          <w:color w:val="auto"/>
          <w:sz w:val="32"/>
          <w:szCs w:val="32"/>
          <w:highlight w:val="none"/>
        </w:rPr>
        <w:t>万元的</w:t>
      </w:r>
      <w:r>
        <w:rPr>
          <w:rFonts w:hint="eastAsia" w:ascii="仿宋" w:hAnsi="仿宋" w:eastAsia="仿宋" w:cs="仿宋"/>
          <w:color w:val="auto"/>
          <w:sz w:val="32"/>
          <w:szCs w:val="32"/>
          <w:highlight w:val="none"/>
          <w:lang w:val="en-US" w:eastAsia="zh-CN"/>
        </w:rPr>
        <w:t>74.16</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公务接待费支出决算为</w:t>
      </w:r>
      <w:r>
        <w:rPr>
          <w:rFonts w:hint="eastAsia" w:ascii="仿宋" w:hAnsi="仿宋" w:eastAsia="仿宋" w:cs="仿宋"/>
          <w:color w:val="auto"/>
          <w:sz w:val="32"/>
          <w:szCs w:val="32"/>
          <w:highlight w:val="none"/>
          <w:lang w:val="en-US" w:eastAsia="zh-CN"/>
        </w:rPr>
        <w:t>4.25</w:t>
      </w:r>
      <w:r>
        <w:rPr>
          <w:rFonts w:hint="eastAsia" w:ascii="仿宋" w:hAnsi="仿宋" w:eastAsia="仿宋" w:cs="仿宋"/>
          <w:color w:val="auto"/>
          <w:sz w:val="32"/>
          <w:szCs w:val="32"/>
          <w:highlight w:val="none"/>
        </w:rPr>
        <w:t>万元，完成预算</w:t>
      </w:r>
      <w:r>
        <w:rPr>
          <w:rFonts w:hint="eastAsia" w:ascii="仿宋" w:hAnsi="仿宋" w:eastAsia="仿宋" w:cs="仿宋"/>
          <w:color w:val="auto"/>
          <w:sz w:val="32"/>
          <w:szCs w:val="32"/>
          <w:highlight w:val="none"/>
          <w:lang w:val="en-US" w:eastAsia="zh-CN"/>
        </w:rPr>
        <w:t>5.96</w:t>
      </w:r>
      <w:r>
        <w:rPr>
          <w:rFonts w:hint="eastAsia" w:ascii="仿宋" w:hAnsi="仿宋" w:eastAsia="仿宋" w:cs="仿宋"/>
          <w:color w:val="auto"/>
          <w:sz w:val="32"/>
          <w:szCs w:val="32"/>
          <w:highlight w:val="none"/>
        </w:rPr>
        <w:t>万元的</w:t>
      </w:r>
      <w:r>
        <w:rPr>
          <w:rFonts w:hint="eastAsia" w:ascii="仿宋" w:hAnsi="仿宋" w:eastAsia="仿宋" w:cs="仿宋"/>
          <w:color w:val="auto"/>
          <w:sz w:val="32"/>
          <w:szCs w:val="32"/>
          <w:highlight w:val="none"/>
          <w:lang w:val="en-US" w:eastAsia="zh-CN"/>
        </w:rPr>
        <w:t>71.26</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3"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3.</w:t>
      </w:r>
      <w:r>
        <w:rPr>
          <w:rFonts w:hint="eastAsia" w:ascii="仿宋" w:hAnsi="仿宋" w:eastAsia="仿宋" w:cs="仿宋"/>
          <w:b/>
          <w:bCs/>
          <w:sz w:val="32"/>
          <w:szCs w:val="32"/>
          <w:lang w:eastAsia="zh-CN"/>
        </w:rPr>
        <w:t>信息公开情况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我单位按照省财政厅要求，按时按规定进行了2024年度中国国民党革命委员会广东省委员会部门决算、2026年中国国民党革命委员会广东省委员会部门预算、2024年中国国民党革命委员会广东省委会整体绩效自评报告的公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3"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4.绩效管理情况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我单位2025年绩效管理情况如下：</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实现绩效目标全覆盖。2025年本部门组织对2024年度整体支出进行绩效自评,涉及资金占一般公共预算整体支出总额的100%。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科学设定绩效目标。我单位根据省财政厅建立规范的绩效指标体系，科学的设定了2026年度整体支出绩效指标。同时，将绩效目标随同预算批复和下达，强化资金使用处室的主体责任和效率意识。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扩大绩效运行监控。以省财政厅双监控系统通报数据为基础，跟踪查找薄弱环节，及时堵塞管理“漏洞”，纠正执行偏差。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加大绩效信息公开公开力度。我单位按照省财厅工作部署，将2024年中国国民党革命委员会广东省委会整体绩效自评报告公示在单位门户网站。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3" w:firstLineChars="200"/>
        <w:jc w:val="left"/>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5.采购管理</w:t>
      </w:r>
      <w:r>
        <w:rPr>
          <w:rFonts w:hint="eastAsia" w:ascii="仿宋" w:hAnsi="仿宋" w:eastAsia="仿宋" w:cs="仿宋"/>
          <w:b/>
          <w:bCs/>
          <w:sz w:val="32"/>
          <w:szCs w:val="32"/>
          <w:lang w:eastAsia="zh-CN"/>
        </w:rPr>
        <w:t>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本单位政府采购19.40支出总额万元，其中：政府采购货物支出11.03万元、政府采购工程支出0万元、政府采购服务支出8.37万元。授予中小企业合同金额19.40万元，占政府采购支出总额的100%，其中：授予小微企业合同金额19.40万元，占政府采购支出总额的100%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3" w:firstLineChars="200"/>
        <w:jc w:val="left"/>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6.资产管理情况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2025年12月31日，本部门资产合计60.42万元，负债9.40万元。</w:t>
      </w:r>
      <w:r>
        <w:rPr>
          <w:rFonts w:hint="eastAsia" w:ascii="仿宋" w:hAnsi="仿宋" w:eastAsia="仿宋" w:cs="仿宋"/>
          <w:sz w:val="32"/>
          <w:szCs w:val="32"/>
        </w:rPr>
        <w:t>公务用车保有量为</w:t>
      </w:r>
      <w:r>
        <w:rPr>
          <w:rFonts w:hint="eastAsia" w:ascii="仿宋" w:hAnsi="仿宋" w:eastAsia="仿宋" w:cs="仿宋"/>
          <w:sz w:val="32"/>
          <w:szCs w:val="32"/>
          <w:lang w:val="en-US" w:eastAsia="zh-CN"/>
        </w:rPr>
        <w:t>4</w:t>
      </w:r>
      <w:r>
        <w:rPr>
          <w:rFonts w:hint="eastAsia" w:ascii="仿宋" w:hAnsi="仿宋" w:eastAsia="仿宋" w:cs="仿宋"/>
          <w:sz w:val="32"/>
          <w:szCs w:val="32"/>
        </w:rPr>
        <w:t>辆，</w:t>
      </w:r>
      <w:r>
        <w:rPr>
          <w:rFonts w:hint="eastAsia" w:ascii="仿宋" w:hAnsi="仿宋" w:eastAsia="仿宋" w:cs="仿宋"/>
          <w:sz w:val="32"/>
          <w:szCs w:val="32"/>
          <w:lang w:eastAsia="zh-CN"/>
        </w:rPr>
        <w:t>其中，其中主要领导用车1辆，定向化保障（厅级）用车1辆，机要通信应急保障用车2辆。单价50万元以上通用设备0台（套），单价100万元以上专用设备0台（套）。</w:t>
      </w:r>
      <w:r>
        <w:rPr>
          <w:rFonts w:hint="eastAsia" w:ascii="仿宋" w:hAnsi="仿宋" w:eastAsia="仿宋" w:cs="仿宋"/>
          <w:sz w:val="32"/>
          <w:szCs w:val="32"/>
        </w:rPr>
        <w:t>资产减少的主要原因为货币资金减少0.001422 万元，固定资产净值减少6.57万元，无形资产净值减少1.52万元，总计减少了8.09万元。负债的增加主要原因是住房基金账户的增加。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eastAsia="zh-CN"/>
        </w:rPr>
      </w:pPr>
      <w:r>
        <w:rPr>
          <w:rFonts w:hint="eastAsia" w:ascii="华文楷体" w:hAnsi="华文楷体" w:eastAsia="华文楷体" w:cs="华文楷体"/>
          <w:sz w:val="32"/>
          <w:szCs w:val="32"/>
          <w:lang w:val="en-US" w:eastAsia="zh-CN"/>
        </w:rPr>
        <w:t>（四）就</w:t>
      </w:r>
      <w:r>
        <w:rPr>
          <w:rFonts w:hint="eastAsia" w:ascii="华文楷体" w:hAnsi="华文楷体" w:eastAsia="华文楷体" w:cs="华文楷体"/>
          <w:sz w:val="32"/>
          <w:szCs w:val="32"/>
        </w:rPr>
        <w:t>部门整体支出</w:t>
      </w:r>
      <w:r>
        <w:rPr>
          <w:rFonts w:hint="eastAsia" w:ascii="华文楷体" w:hAnsi="华文楷体" w:eastAsia="华文楷体" w:cs="华文楷体"/>
          <w:sz w:val="32"/>
          <w:szCs w:val="32"/>
          <w:lang w:eastAsia="zh-CN"/>
        </w:rPr>
        <w:t>绩效管理</w:t>
      </w:r>
      <w:r>
        <w:rPr>
          <w:rFonts w:hint="eastAsia" w:ascii="华文楷体" w:hAnsi="华文楷体" w:eastAsia="华文楷体" w:cs="华文楷体"/>
          <w:sz w:val="32"/>
          <w:szCs w:val="32"/>
        </w:rPr>
        <w:t>存在问题</w:t>
      </w:r>
      <w:r>
        <w:rPr>
          <w:rFonts w:hint="eastAsia" w:ascii="华文楷体" w:hAnsi="华文楷体" w:eastAsia="华文楷体" w:cs="华文楷体"/>
          <w:sz w:val="32"/>
          <w:szCs w:val="32"/>
          <w:lang w:eastAsia="zh-CN"/>
        </w:rPr>
        <w:t>提出</w:t>
      </w:r>
      <w:r>
        <w:rPr>
          <w:rFonts w:hint="eastAsia" w:ascii="华文楷体" w:hAnsi="华文楷体" w:eastAsia="华文楷体" w:cs="华文楷体"/>
          <w:sz w:val="32"/>
          <w:szCs w:val="32"/>
        </w:rPr>
        <w:t>改进</w:t>
      </w:r>
      <w:r>
        <w:rPr>
          <w:rFonts w:hint="eastAsia" w:ascii="华文楷体" w:hAnsi="华文楷体" w:eastAsia="华文楷体" w:cs="华文楷体"/>
          <w:sz w:val="32"/>
          <w:szCs w:val="32"/>
          <w:lang w:eastAsia="zh-CN"/>
        </w:rPr>
        <w:t>措施</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rPr>
        <w:t>根据本次绩效评价情况，存在问题</w:t>
      </w:r>
      <w:r>
        <w:rPr>
          <w:rFonts w:hint="eastAsia" w:ascii="仿宋" w:hAnsi="仿宋" w:eastAsia="仿宋" w:cs="仿宋"/>
          <w:sz w:val="32"/>
          <w:szCs w:val="32"/>
          <w:lang w:val="en-US" w:eastAsia="zh-CN"/>
        </w:rPr>
        <w:t>主要是在</w:t>
      </w:r>
      <w:r>
        <w:rPr>
          <w:rFonts w:hint="eastAsia" w:ascii="仿宋" w:hAnsi="仿宋" w:eastAsia="仿宋" w:cs="仿宋"/>
          <w:sz w:val="32"/>
          <w:szCs w:val="32"/>
        </w:rPr>
        <w:t>预算绩效申报时，编制</w:t>
      </w:r>
      <w:r>
        <w:rPr>
          <w:rFonts w:hint="eastAsia" w:ascii="仿宋" w:hAnsi="仿宋" w:eastAsia="仿宋" w:cs="仿宋"/>
          <w:sz w:val="32"/>
          <w:szCs w:val="32"/>
          <w:lang w:eastAsia="zh-CN"/>
        </w:rPr>
        <w:t>的</w:t>
      </w:r>
      <w:r>
        <w:rPr>
          <w:rFonts w:hint="eastAsia" w:ascii="仿宋" w:hAnsi="仿宋" w:eastAsia="仿宋" w:cs="仿宋"/>
          <w:sz w:val="32"/>
          <w:szCs w:val="32"/>
        </w:rPr>
        <w:t>绩效目标</w:t>
      </w:r>
      <w:r>
        <w:rPr>
          <w:rFonts w:hint="eastAsia" w:ascii="仿宋" w:hAnsi="仿宋" w:eastAsia="仿宋" w:cs="仿宋"/>
          <w:sz w:val="32"/>
          <w:szCs w:val="32"/>
          <w:lang w:eastAsia="zh-CN"/>
        </w:rPr>
        <w:t>部分</w:t>
      </w:r>
      <w:r>
        <w:rPr>
          <w:rFonts w:hint="eastAsia" w:ascii="仿宋" w:hAnsi="仿宋" w:eastAsia="仿宋" w:cs="仿宋"/>
          <w:sz w:val="32"/>
          <w:szCs w:val="32"/>
        </w:rPr>
        <w:t>未完全细化分解为</w:t>
      </w:r>
      <w:r>
        <w:rPr>
          <w:rFonts w:hint="eastAsia" w:ascii="仿宋" w:hAnsi="仿宋" w:eastAsia="仿宋" w:cs="仿宋"/>
          <w:sz w:val="32"/>
          <w:szCs w:val="32"/>
          <w:lang w:eastAsia="zh-CN"/>
        </w:rPr>
        <w:t>阶段性具体</w:t>
      </w:r>
      <w:r>
        <w:rPr>
          <w:rFonts w:hint="eastAsia" w:ascii="仿宋" w:hAnsi="仿宋" w:eastAsia="仿宋" w:cs="仿宋"/>
          <w:sz w:val="32"/>
          <w:szCs w:val="32"/>
        </w:rPr>
        <w:t>工作任务，部分绩效指标不</w:t>
      </w:r>
      <w:r>
        <w:rPr>
          <w:rFonts w:hint="eastAsia" w:ascii="仿宋" w:hAnsi="仿宋" w:eastAsia="仿宋" w:cs="仿宋"/>
          <w:sz w:val="32"/>
          <w:szCs w:val="32"/>
          <w:lang w:eastAsia="zh-CN"/>
        </w:rPr>
        <w:t>够</w:t>
      </w:r>
      <w:r>
        <w:rPr>
          <w:rFonts w:hint="eastAsia" w:ascii="仿宋" w:hAnsi="仿宋" w:eastAsia="仿宋" w:cs="仿宋"/>
          <w:sz w:val="32"/>
          <w:szCs w:val="32"/>
        </w:rPr>
        <w:t>清晰。针对上述问题，在今后的预算绩效申报时，将全年工作任务细化分解为</w:t>
      </w:r>
      <w:r>
        <w:rPr>
          <w:rFonts w:hint="eastAsia" w:ascii="仿宋" w:hAnsi="仿宋" w:eastAsia="仿宋" w:cs="仿宋"/>
          <w:sz w:val="32"/>
          <w:szCs w:val="32"/>
          <w:lang w:eastAsia="zh-CN"/>
        </w:rPr>
        <w:t>分阶段</w:t>
      </w:r>
      <w:r>
        <w:rPr>
          <w:rFonts w:hint="eastAsia" w:ascii="仿宋" w:hAnsi="仿宋" w:eastAsia="仿宋" w:cs="仿宋"/>
          <w:sz w:val="32"/>
          <w:szCs w:val="32"/>
        </w:rPr>
        <w:t>具体的工作目标，并尽量采取定量的方式制定清晰的绩效指标。</w:t>
      </w:r>
      <w:r>
        <w:rPr>
          <w:rFonts w:hint="eastAsia" w:ascii="仿宋" w:hAnsi="仿宋" w:eastAsia="仿宋" w:cs="仿宋"/>
          <w:sz w:val="32"/>
          <w:szCs w:val="32"/>
          <w:lang w:val="en-US" w:eastAsia="zh-CN"/>
        </w:rPr>
        <w:t>下一步，我单位将按照财政部、省财厅关于全面实施预算绩效管理的部署，加强制度建设，明确绩效管理责任，建立预算安排与绩效目标、资金使用效果挂钩的激励约束机制，提升工作质量和水平。</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w:t>
      </w:r>
      <w:r>
        <w:rPr>
          <w:rFonts w:hint="eastAsia" w:ascii="黑体" w:hAnsi="黑体" w:eastAsia="黑体" w:cs="黑体"/>
          <w:sz w:val="32"/>
          <w:szCs w:val="32"/>
          <w:lang w:eastAsia="zh-CN"/>
        </w:rPr>
        <w:t>其他</w:t>
      </w:r>
      <w:r>
        <w:rPr>
          <w:rFonts w:hint="eastAsia" w:ascii="黑体" w:hAnsi="黑体" w:eastAsia="黑体" w:cs="黑体"/>
          <w:sz w:val="32"/>
          <w:szCs w:val="32"/>
        </w:rPr>
        <w:t>自评情况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无其他需要说明的情况。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lang w:eastAsia="zh-CN"/>
        </w:rPr>
      </w:pPr>
      <w:r>
        <w:rPr>
          <w:rFonts w:hint="eastAsia" w:ascii="黑体" w:hAnsi="黑体" w:eastAsia="黑体" w:cs="黑体"/>
          <w:sz w:val="32"/>
          <w:szCs w:val="32"/>
          <w:lang w:eastAsia="zh-CN"/>
        </w:rPr>
        <w:t>四、上年度绩效自评整改情况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2025年度根据省财政绩效自评工作部署安排，我单位参与</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年省级</w:t>
      </w:r>
      <w:r>
        <w:rPr>
          <w:rFonts w:hint="eastAsia" w:ascii="仿宋" w:hAnsi="仿宋" w:eastAsia="仿宋" w:cs="仿宋"/>
          <w:sz w:val="32"/>
          <w:szCs w:val="32"/>
          <w:lang w:val="en-US" w:eastAsia="zh-CN"/>
        </w:rPr>
        <w:t>整体支出</w:t>
      </w:r>
      <w:r>
        <w:rPr>
          <w:rFonts w:hint="eastAsia" w:ascii="仿宋" w:hAnsi="仿宋" w:eastAsia="仿宋" w:cs="仿宋"/>
          <w:sz w:val="32"/>
          <w:szCs w:val="32"/>
        </w:rPr>
        <w:t>绩效评价工作</w:t>
      </w:r>
      <w:r>
        <w:rPr>
          <w:rFonts w:hint="eastAsia" w:ascii="仿宋" w:hAnsi="仿宋" w:eastAsia="仿宋" w:cs="仿宋"/>
          <w:sz w:val="32"/>
          <w:szCs w:val="32"/>
          <w:lang w:val="en-US" w:eastAsia="zh-CN"/>
        </w:rPr>
        <w:t>，自评报告在单位网站公开。经省财政厅考核评比，考核良好。我单位高度重视，向主委办公会议及全体工作人员通报评比情况，对照自查，进行整改，严格落实省财政厅关于绩效考评的相关要求。</w:t>
      </w:r>
    </w:p>
    <w:p>
      <w:bookmarkStart w:id="1" w:name="_GoBack"/>
      <w:bookmarkEnd w:id="1"/>
    </w:p>
    <w:sectPr>
      <w:footerReference r:id="rId3" w:type="default"/>
      <w:pgSz w:w="11906" w:h="16838"/>
      <w:pgMar w:top="1440" w:right="1587"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10002FF" w:usb1="4000ACFF" w:usb2="00000009" w:usb3="00000000" w:csb0="2000019F" w:csb1="0000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font>
  <w:font w:name="黑体">
    <w:panose1 w:val="02010600030101010101"/>
    <w:charset w:val="7A"/>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dobe 楷体 Std R">
    <w:altName w:val="宋体"/>
    <w:panose1 w:val="00000000000000000000"/>
    <w:charset w:val="7A"/>
    <w:family w:val="roman"/>
    <w:pitch w:val="default"/>
    <w:sig w:usb0="00000000" w:usb1="00000000" w:usb2="00000010" w:usb3="00000000" w:csb0="00060007"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大标宋简体">
    <w:altName w:val="Arial Unicode MS"/>
    <w:panose1 w:val="02010601030101010101"/>
    <w:charset w:val="86"/>
    <w:family w:val="auto"/>
    <w:pitch w:val="default"/>
    <w:sig w:usb0="00000000" w:usb1="00000000" w:usb2="00000000" w:usb3="00000000" w:csb0="00040000" w:csb1="00000000"/>
  </w:font>
  <w:font w:name="方正粗黑宋简体">
    <w:altName w:val="宋体"/>
    <w:panose1 w:val="02000000000000000000"/>
    <w:charset w:val="86"/>
    <w:family w:val="auto"/>
    <w:pitch w:val="default"/>
    <w:sig w:usb0="00000000" w:usb1="00000000" w:usb2="00000012"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姚体">
    <w:panose1 w:val="02010601030101010101"/>
    <w:charset w:val="86"/>
    <w:family w:val="auto"/>
    <w:pitch w:val="default"/>
    <w:sig w:usb0="00000003"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Batang">
    <w:panose1 w:val="02030600000101010101"/>
    <w:charset w:val="81"/>
    <w:family w:val="auto"/>
    <w:pitch w:val="default"/>
    <w:sig w:usb0="B00002AF" w:usb1="69D77CFB" w:usb2="00000030" w:usb3="00000000" w:csb0="4008009F" w:csb1="DFD70000"/>
  </w:font>
  <w:font w:name="Calibri Light">
    <w:altName w:val="Calibri"/>
    <w:panose1 w:val="020F0302020204030204"/>
    <w:charset w:val="00"/>
    <w:family w:val="auto"/>
    <w:pitch w:val="default"/>
    <w:sig w:usb0="00000000" w:usb1="00000000" w:usb2="00000000" w:usb3="00000000" w:csb0="2000019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 w:name="kai_ti_gb2312">
    <w:altName w:val="Segoe Print"/>
    <w:panose1 w:val="00000000000000000000"/>
    <w:charset w:val="00"/>
    <w:family w:val="auto"/>
    <w:pitch w:val="default"/>
    <w:sig w:usb0="00000000" w:usb1="00000000" w:usb2="00000000" w:usb3="00000000" w:csb0="00000000" w:csb1="00000000"/>
  </w:font>
  <w:font w:name="FangSong_GB2312">
    <w:altName w:val="仿宋_GB2312"/>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 w:name="Good Times">
    <w:altName w:val="Segoe Print"/>
    <w:panose1 w:val="00000500000000000000"/>
    <w:charset w:val="00"/>
    <w:family w:val="auto"/>
    <w:pitch w:val="default"/>
    <w:sig w:usb0="00000000" w:usb1="00000000" w:usb2="00000000" w:usb3="00000000" w:csb0="00000003" w:csb1="00000000"/>
  </w:font>
  <w:font w:name="方正潇洒宋 简">
    <w:altName w:val="宋体"/>
    <w:panose1 w:val="02000500000000000000"/>
    <w:charset w:val="86"/>
    <w:family w:val="auto"/>
    <w:pitch w:val="default"/>
    <w:sig w:usb0="00000000" w:usb1="00000000" w:usb2="00000012" w:usb3="00000000" w:csb0="00040001" w:csb1="00000000"/>
  </w:font>
  <w:font w:name="黑体-简">
    <w:altName w:val="黑体"/>
    <w:panose1 w:val="02000000000000000000"/>
    <w:charset w:val="86"/>
    <w:family w:val="auto"/>
    <w:pitch w:val="default"/>
    <w:sig w:usb0="00000000" w:usb1="00000000" w:usb2="00000000" w:usb3="00000000" w:csb0="203E0000" w:csb1="00000000"/>
  </w:font>
  <w:font w:name="Comic Sans Pro">
    <w:altName w:val="宋体"/>
    <w:panose1 w:val="02010600010101010101"/>
    <w:charset w:val="86"/>
    <w:family w:val="auto"/>
    <w:pitch w:val="default"/>
    <w:sig w:usb0="00000000" w:usb1="00000000" w:usb2="00000000" w:usb3="00000000" w:csb0="00040000" w:csb1="00000000"/>
  </w:font>
  <w:font w:name="方正速黑">
    <w:altName w:val="黑体"/>
    <w:panose1 w:val="02010600010101010101"/>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i&#10;B7s4twEAAFQDAAAOAAAAAAAAAAEAIAAAAB4BAABkcnMvZTJvRG9jLnhtbFBLBQYAAAAABgAGAFkB&#10;AABHBQAAAAA=&#10;">
              <v:fill on="f" focussize="0,0"/>
              <v:stroke on="f"/>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320BBF"/>
    <w:multiLevelType w:val="singleLevel"/>
    <w:tmpl w:val="6A320BBF"/>
    <w:lvl w:ilvl="0" w:tentative="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7E5604"/>
    <w:rsid w:val="008C25CB"/>
    <w:rsid w:val="01AA45D0"/>
    <w:rsid w:val="06C334F3"/>
    <w:rsid w:val="135A6D7A"/>
    <w:rsid w:val="1A877468"/>
    <w:rsid w:val="1B44366A"/>
    <w:rsid w:val="23A44040"/>
    <w:rsid w:val="2648561D"/>
    <w:rsid w:val="2AAE6B19"/>
    <w:rsid w:val="2CEA34D3"/>
    <w:rsid w:val="2CFB4C29"/>
    <w:rsid w:val="327504C3"/>
    <w:rsid w:val="33845EFD"/>
    <w:rsid w:val="340C50A0"/>
    <w:rsid w:val="341B2A24"/>
    <w:rsid w:val="361551C6"/>
    <w:rsid w:val="3DB61D24"/>
    <w:rsid w:val="433A6650"/>
    <w:rsid w:val="45151ADD"/>
    <w:rsid w:val="48DF1925"/>
    <w:rsid w:val="4BFD7B0A"/>
    <w:rsid w:val="4CA9480A"/>
    <w:rsid w:val="551F04F2"/>
    <w:rsid w:val="5DD31883"/>
    <w:rsid w:val="62AE4C24"/>
    <w:rsid w:val="67A625A2"/>
    <w:rsid w:val="6F1C33FC"/>
    <w:rsid w:val="6FB23685"/>
    <w:rsid w:val="716830A5"/>
    <w:rsid w:val="727E5604"/>
    <w:rsid w:val="742636D8"/>
    <w:rsid w:val="74EE3E43"/>
    <w:rsid w:val="762F53FA"/>
    <w:rsid w:val="78C0376B"/>
    <w:rsid w:val="7BD649C0"/>
    <w:rsid w:val="7F075C38"/>
    <w:rsid w:val="7F117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2"/>
    <w:basedOn w:val="1"/>
    <w:next w:val="1"/>
    <w:unhideWhenUsed/>
    <w:qFormat/>
    <w:uiPriority w:val="0"/>
    <w:pPr>
      <w:keepNext/>
      <w:keepLines/>
      <w:spacing w:before="200" w:after="0"/>
      <w:outlineLvl w:val="1"/>
    </w:pPr>
    <w:rPr>
      <w:rFonts w:ascii="Cambria" w:hAnsi="Cambria" w:eastAsia="Times New Roman" w:cs="Times New Roman"/>
      <w:b/>
      <w:bCs/>
      <w:color w:val="4F81BD"/>
      <w:sz w:val="26"/>
      <w:szCs w:val="26"/>
    </w:rPr>
  </w:style>
  <w:style w:type="character" w:default="1" w:styleId="10">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customStyle="1" w:styleId="2">
    <w:name w:val="正文文本首行缩进 21"/>
    <w:basedOn w:val="3"/>
    <w:qFormat/>
    <w:uiPriority w:val="0"/>
    <w:pPr>
      <w:widowControl w:val="0"/>
      <w:ind w:left="420" w:leftChars="200" w:firstLine="420" w:firstLineChars="200"/>
      <w:jc w:val="both"/>
    </w:pPr>
    <w:rPr>
      <w:rFonts w:ascii="Good Times" w:hAnsi="Good Times" w:eastAsia="方正潇洒宋 简" w:cs="Good Times"/>
      <w:kern w:val="2"/>
      <w:sz w:val="21"/>
      <w:szCs w:val="24"/>
      <w:lang w:val="en-US" w:eastAsia="zh-CN" w:bidi="ar-SA"/>
    </w:rPr>
  </w:style>
  <w:style w:type="paragraph" w:customStyle="1" w:styleId="3">
    <w:name w:val="正文文本缩进1"/>
    <w:qFormat/>
    <w:uiPriority w:val="0"/>
    <w:pPr>
      <w:widowControl w:val="0"/>
      <w:ind w:left="420" w:leftChars="200"/>
      <w:jc w:val="both"/>
    </w:pPr>
    <w:rPr>
      <w:rFonts w:ascii="Good Times" w:hAnsi="Good Times" w:eastAsia="方正潇洒宋 简" w:cs="Good Times"/>
      <w:kern w:val="2"/>
      <w:sz w:val="21"/>
      <w:szCs w:val="24"/>
      <w:lang w:val="en-US" w:eastAsia="zh-CN" w:bidi="ar-SA"/>
    </w:rPr>
  </w:style>
  <w:style w:type="paragraph" w:styleId="5">
    <w:name w:val="Normal Indent"/>
    <w:qFormat/>
    <w:uiPriority w:val="0"/>
    <w:pPr>
      <w:widowControl w:val="0"/>
      <w:ind w:firstLine="880" w:firstLineChars="200"/>
      <w:jc w:val="both"/>
    </w:pPr>
    <w:rPr>
      <w:rFonts w:ascii="Good Times" w:hAnsi="Good Times" w:eastAsia="方正潇洒宋 简" w:cs="Good Times"/>
      <w:kern w:val="2"/>
      <w:sz w:val="21"/>
      <w:szCs w:val="24"/>
      <w:lang w:val="en-US" w:eastAsia="zh-CN" w:bidi="ar-SA"/>
    </w:rPr>
  </w:style>
  <w:style w:type="paragraph" w:styleId="6">
    <w:name w:val="Body Text Indent"/>
    <w:basedOn w:val="1"/>
    <w:qFormat/>
    <w:uiPriority w:val="0"/>
    <w:pPr>
      <w:spacing w:after="120" w:afterLines="0" w:afterAutospacing="0"/>
      <w:ind w:left="420" w:leftChars="200"/>
    </w:pPr>
  </w:style>
  <w:style w:type="paragraph" w:styleId="7">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8">
    <w:name w:val="Body Text First Indent 2"/>
    <w:basedOn w:val="6"/>
    <w:qFormat/>
    <w:uiPriority w:val="0"/>
    <w:pPr>
      <w:ind w:firstLine="1044"/>
    </w:pPr>
  </w:style>
  <w:style w:type="paragraph" w:styleId="9">
    <w:name w:val="Normal (Web)"/>
    <w:basedOn w:val="1"/>
    <w:uiPriority w:val="0"/>
    <w:pPr>
      <w:widowControl w:val="0"/>
      <w:spacing w:beforeAutospacing="1" w:afterAutospacing="1"/>
    </w:pPr>
    <w:rPr>
      <w:rFonts w:ascii="Good Times" w:hAnsi="Good Times" w:eastAsia="方正潇洒宋 简" w:cs="Good Times"/>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民革广东省委员会</Company>
  <Pages>1</Pages>
  <Words>0</Words>
  <Characters>0</Characters>
  <Lines>0</Lines>
  <Paragraphs>0</Paragraphs>
  <TotalTime>193</TotalTime>
  <ScaleCrop>false</ScaleCrop>
  <LinksUpToDate>false</LinksUpToDate>
  <CharactersWithSpaces>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2025-05-07T07:30:00Z</dcterms:created>
  <dc:creator>邓智星</dc:creator>
  <cp:lastModifiedBy>HP</cp:lastModifiedBy>
  <dcterms:modified xsi:type="dcterms:W3CDTF">2026-06-17T06:54:08Z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